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512"/>
      </w:tblGrid>
      <w:tr>
        <w:tc>
          <w:tcPr>
            <w:tcW w:type="dxa" w:w="10512"/>
            <w:tcBorders>
              <w:top w:val="none"/>
              <w:left w:val="none"/>
              <w:bottom w:val="none"/>
              <w:right w:val="none"/>
            </w:tcBorders>
            <w:shd w:fill="1F4E79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32"/>
                <w:szCs w:val="32"/>
              </w:rPr>
              <w:t xml:space="preserve">PHARMACY — ACCREDITATION PREP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C19A3E"/>
                <w:sz w:val="20"/>
                <w:szCs w:val="20"/>
              </w:rPr>
              <w:t xml:space="preserve">Survey: May 4–6, 2026</w:t>
            </w:r>
          </w:p>
        </w:tc>
      </w:tr>
    </w:tbl>
    <w:p>
      <w:pPr>
        <w:spacing w:after="40"/>
      </w:pPr>
    </w:p>
    <w:p>
      <w:pPr>
        <w:pStyle w:val="Heading2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WHAT IS ACCREDITATION &amp; WHY ARE WE DOING THIS?</w:t>
      </w:r>
    </w:p>
    <w:p>
      <w:pPr>
        <w:spacing w:after="10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Every 4 years, Accreditation Canada surveys our facility against national standards. Our survey is May 4–6, 2026. Pharmacy has its own dedicated standard: Medication Management (180 criteria, currently at 98.3% compliance). Surveyors WILL spend significant time in the pharmacy — observing processes, reviewing documentation, and asking detailed technical questions.</w:t>
      </w:r>
    </w:p>
    <w:p>
      <w:pPr>
        <w:pStyle w:val="Heading2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WHY THIS MATTERS TO YOUR DEPARTMENT</w:t>
      </w:r>
    </w:p>
    <w:p>
      <w:pPr>
        <w:spacing w:after="10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Medication Management has the second-most criteria of any standard (180) and directly affects patient safety. Surveyors will trace a medication from ordering through dispensing, administration, and monitoring. They’ll look at your high-alert medication program (ROP), your technology systems (Kroll, Omnicell, Alaris pumps), and your interdisciplinary collaboration. Kelly Stark leads the Rehab Episode of Care where pharmacy will be probed; Michael MacFadden covers LTC and community medication management.</w:t>
      </w:r>
    </w:p>
    <w:p>
      <w:pPr>
        <w:pStyle w:val="Heading2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QUESTIONS A SURVEYOR MAY ASK YOU</w:t>
      </w:r>
    </w:p>
    <w:p>
      <w:pPr>
        <w:spacing w:after="10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Surveyors are friendly — they want to hear your story, not trick you. Answer honestly using real examples from your work.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Walk me through the medication dispensing process from order to administration.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How are high-alert medications identified, stored, and managed? What safeguards exist?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What is the Do-Not-Use abbreviation list? How is compliance monitored?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How is medication reconciliation done at admission, transfer, and discharge?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How do you manage antimicrobial stewardship? Who leads it?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How do you handle medication incidents? What’s the reporting and review process?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How does pharmacy support community medication programs?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What QI projects has pharmacy been involved in recently?</w:t>
      </w:r>
    </w:p>
    <w:p>
      <w:pPr>
        <w:pStyle w:val="Heading2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⭐ Every Staff Member Should Know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Our mission: “Unstoppable Compassion.”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Our values: Dignity, Respect, Service, Responsibility, Justice, and Discovery.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SJHS Shared Plan 2025–30 “Unstoppable Compassion” has three strategic directions: Advance Health, Amplify Impact, Invest in Teams.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Governance: SJHCG is part of St. Joseph’s Health System (SJHS) under a bipartite governance model. Local Board ensures site accountability; SJHS Board provides system oversight.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Campus of Care: We offer a seamless continuum — community support, inpatient rehabilitation (42 beds), LTC (240 beds), and palliative care (8 beds).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Where to find policies: Pulse (intranet). How to report an incident: RL Solutions.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The 4 Moments of Hand Hygiene: Before contact, before aseptic procedure, after body fluid risk, after contact.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High-alert medications program is an ROP — independent double-checks, storage protocols.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Do-Not-Use abbreviations is an ROP — know the list and the monitoring process.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Antimicrobial stewardship (flagged as gap) — know current state and plan.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Community medication model: Model A (UCP cueing, OTRCH-011-1) vs Model B (RPN admin, OTRCH-011-3).</w:t>
      </w:r>
    </w:p>
    <w:p>
      <w:pPr>
        <w:pStyle w:val="Heading2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💡 Tips for Talking to a Surveyor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Be honest — if you don’t know, say “I’m not sure, but I would check with my manager” or “I’d look it up on Pulse.”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Use real examples — “Last week, I…” is better than textbook answers.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Know where to find policies — Pulse (intranet). You don’t need to memorize policy numbers.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It’s a conversation, not a test. They want to understand what you do, not catch you out.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If you see something not right, show them how you’d report it (RL Solutions, tell your manager).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Know the strategic plan name (“Unstoppable Compassion”) and connect your work to at least one strategic direction.</w:t>
      </w:r>
    </w:p>
    <w:p>
      <w:pPr>
        <w:pStyle w:val="Heading2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🚨 Areas to Strengthen Before May 4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Ensure high-alert medication storage, labelling, and double-check processes are documented and visible.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Review Do-Not-Use abbreviation compliance monitoring data.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Prepare antimicrobial stewardship narrative (current program, metrics, improvement plan).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Ensure community medication documentation is current.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Prepare ONE QI example from pharmacy with measurable outcomes.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Review Kroll, Omnicell, and Alaris pump procedures — surveyors may observe these systems.</w:t>
      </w:r>
    </w:p>
    <w:p>
      <w:pPr>
        <w:pBdr>
          <w:top w:val="single" w:color="1F4E79" w:sz="2" w:space="4"/>
        </w:pBdr>
        <w:spacing w:before="200"/>
      </w:pPr>
      <w:r>
        <w:rPr>
          <w:rFonts w:ascii="Calibri" w:cs="Calibri" w:eastAsia="Calibri" w:hAnsi="Calibri"/>
          <w:i/>
          <w:iCs/>
          <w:color w:val="888888"/>
          <w:sz w:val="16"/>
          <w:szCs w:val="16"/>
        </w:rPr>
        <w:t xml:space="preserve">Questions? Contact the Accreditation Project Lead for a pre-survey briefing.</w:t>
      </w:r>
      <w:r>
        <w:rPr>
          <w:rFonts w:ascii="Calibri" w:cs="Calibri" w:eastAsia="Calibri" w:hAnsi="Calibri"/>
          <w:i/>
          <w:iCs/>
          <w:color w:val="888888"/>
          <w:sz w:val="16"/>
          <w:szCs w:val="16"/>
        </w:rPr>
        <w:t xml:space="preserve">  |  Tracer rehearsal: ac2026sjhcg.netlify.app</w:t>
      </w:r>
    </w:p>
    <w:sectPr>
      <w:pgSz w:w="12240" w:h="15840" w:orient="portrait"/>
      <w:pgMar w:top="720" w:right="864" w:bottom="720" w:left="86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  <w:lvl w:ilvl="1" w15:tentative="1">
      <w:start w:val="1"/>
      <w:numFmt w:val="bullet"/>
      <w:lvlText w:val="○"/>
      <w:lvlJc w:val="left"/>
      <w:pPr>
        <w:ind w:left="108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☐"/>
      <w:lvlJc w:val="left"/>
      <w:pPr>
        <w:ind w:left="54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C3E50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Calibri" w:cs="Calibri" w:eastAsia="Calibri" w:hAnsi="Calibri"/>
      <w:b/>
      <w:bCs/>
      <w:color w:val="1F4E79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Calibri" w:cs="Calibri" w:eastAsia="Calibri" w:hAnsi="Calibri"/>
      <w:b/>
      <w:bCs/>
      <w:color w:val="1F4E79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2026-03-16T02:40:51.641Z</dcterms:created>
  <dcterms:modified xsi:type="dcterms:W3CDTF">2026-03-16T02:40:51.641Z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