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10512"/>
      </w:tblGrid>
      <w:tr>
        <w:tc>
          <w:tcPr>
            <w:tcW w:type="dxa" w:w="10512"/>
            <w:tcBorders>
              <w:top w:val="none"/>
              <w:left w:val="none"/>
              <w:bottom w:val="none"/>
              <w:right w:val="none"/>
            </w:tcBorders>
            <w:shd w:fill="1F4E79" w:val="clear"/>
            <w:tcMar>
              <w:top w:type="dxa" w:w="120"/>
              <w:left w:type="dxa" w:w="200"/>
              <w:bottom w:type="dxa" w:w="120"/>
              <w:right w:type="dxa" w:w="200"/>
            </w:tcMar>
          </w:tcPr>
          <w:p>
            <w:pPr>
              <w:spacing w:after="40"/>
              <w:jc w:val="center"/>
            </w:pPr>
            <w:r>
              <w:rPr>
                <w:rFonts w:ascii="Calibri" w:cs="Calibri" w:eastAsia="Calibri" w:hAnsi="Calibri"/>
                <w:b/>
                <w:bCs/>
                <w:color w:val="FFFFFF"/>
                <w:sz w:val="32"/>
                <w:szCs w:val="32"/>
              </w:rPr>
              <w:t xml:space="preserve">NURSING &amp; CLINICAL STAFF — ACCREDITATION PREP</w:t>
            </w:r>
          </w:p>
          <w:p>
            <w:pPr>
              <w:jc w:val="center"/>
            </w:pPr>
            <w:r>
              <w:rPr>
                <w:rFonts w:ascii="Calibri" w:cs="Calibri" w:eastAsia="Calibri" w:hAnsi="Calibri"/>
                <w:color w:val="C19A3E"/>
                <w:sz w:val="20"/>
                <w:szCs w:val="20"/>
              </w:rPr>
              <w:t xml:space="preserve">Survey: May 4–6, 2026</w:t>
            </w:r>
          </w:p>
        </w:tc>
      </w:tr>
    </w:tbl>
    <w:p>
      <w:pPr>
        <w:spacing w:after="40"/>
      </w:pPr>
    </w:p>
    <w:p>
      <w:pPr>
        <w:pStyle w:val="Heading2"/>
      </w:pPr>
      <w:r>
        <w:rPr>
          <w:rFonts w:ascii="Calibri" w:cs="Calibri" w:eastAsia="Calibri" w:hAnsi="Calibri"/>
          <w:b/>
          <w:bCs/>
          <w:color w:val="1F4E79"/>
          <w:sz w:val="24"/>
          <w:szCs w:val="24"/>
        </w:rPr>
        <w:t xml:space="preserve">WHAT IS ACCREDITATION &amp; WHY ARE WE DOING THIS?</w:t>
      </w:r>
    </w:p>
    <w:p>
      <w:pPr>
        <w:spacing w:after="100"/>
      </w:pPr>
      <w:r>
        <w:rPr>
          <w:rFonts w:ascii="Calibri" w:cs="Calibri" w:eastAsia="Calibri" w:hAnsi="Calibri"/>
          <w:color w:val="2C3E50"/>
          <w:sz w:val="20"/>
          <w:szCs w:val="20"/>
        </w:rPr>
        <w:t xml:space="preserve">Every 4 years, Accreditation Canada surveys our facility against national standards. Our survey is May 4–6, 2026. As clinical staff, you ARE the accreditation survey. Surveyors spend most of their time on the floor, following the resident/patient journey, observing care, and talking to YOU. They want to see safe, evidence-based, person-centred care — and that you can describe what you do and why.</w:t>
      </w:r>
    </w:p>
    <w:p>
      <w:pPr>
        <w:pStyle w:val="Heading2"/>
      </w:pPr>
      <w:r>
        <w:rPr>
          <w:rFonts w:ascii="Calibri" w:cs="Calibri" w:eastAsia="Calibri" w:hAnsi="Calibri"/>
          <w:b/>
          <w:bCs/>
          <w:color w:val="1F4E79"/>
          <w:sz w:val="24"/>
          <w:szCs w:val="24"/>
        </w:rPr>
        <w:t xml:space="preserve">WHY THIS MATTERS TO YOUR DEPARTMENT</w:t>
      </w:r>
    </w:p>
    <w:p>
      <w:pPr>
        <w:spacing w:after="100"/>
      </w:pPr>
      <w:r>
        <w:rPr>
          <w:rFonts w:ascii="Calibri" w:cs="Calibri" w:eastAsia="Calibri" w:hAnsi="Calibri"/>
          <w:color w:val="2C3E50"/>
          <w:sz w:val="20"/>
          <w:szCs w:val="20"/>
        </w:rPr>
        <w:t xml:space="preserve">Surveyors will follow a “tracer” — they pick a resident/patient and trace their entire care journey. They’ll review the chart, observe care delivery, check the physical environment, and ask you questions. The clinical staff interaction is the most important part of the survey. Kelly Stark leads the Rehab Episode of Care (Mon 1300–1630); Michael MacFadden leads LTC (Mon 1300–1630) and Community (Mon 1000–1200). They will walk the units and talk to you directly.</w:t>
      </w:r>
    </w:p>
    <w:p>
      <w:pPr>
        <w:pStyle w:val="Heading2"/>
      </w:pPr>
      <w:r>
        <w:rPr>
          <w:rFonts w:ascii="Calibri" w:cs="Calibri" w:eastAsia="Calibri" w:hAnsi="Calibri"/>
          <w:b/>
          <w:bCs/>
          <w:color w:val="1F4E79"/>
          <w:sz w:val="24"/>
          <w:szCs w:val="24"/>
        </w:rPr>
        <w:t xml:space="preserve">QUESTIONS A SURVEYOR MAY ASK YOU</w:t>
      </w:r>
    </w:p>
    <w:p>
      <w:pPr>
        <w:spacing w:after="100"/>
      </w:pPr>
      <w:r>
        <w:rPr>
          <w:rFonts w:ascii="Calibri" w:cs="Calibri" w:eastAsia="Calibri" w:hAnsi="Calibri"/>
          <w:color w:val="2C3E50"/>
          <w:sz w:val="20"/>
          <w:szCs w:val="20"/>
        </w:rPr>
        <w:t xml:space="preserve">Surveyors are friendly — they want to hear your story, not trick you. Answer honestly using real examples from your work.</w:t>
      </w:r>
    </w:p>
    <w:p>
      <w:pPr>
        <w:pStyle w:val="ListParagraph"/>
        <w:numPr>
          <w:ilvl w:val="0"/>
          <w:numId w:val="2"/>
        </w:numPr>
        <w:spacing w:after="60"/>
      </w:pPr>
      <w:r>
        <w:rPr>
          <w:rFonts w:ascii="Calibri" w:cs="Calibri" w:eastAsia="Calibri" w:hAnsi="Calibri"/>
          <w:color w:val="2C3E50"/>
          <w:sz w:val="20"/>
          <w:szCs w:val="20"/>
        </w:rPr>
        <w:t xml:space="preserve">Tell me about the resident/patient you’re caring for. What are their goals?</w:t>
      </w:r>
    </w:p>
    <w:p>
      <w:pPr>
        <w:pStyle w:val="ListParagraph"/>
        <w:numPr>
          <w:ilvl w:val="0"/>
          <w:numId w:val="2"/>
        </w:numPr>
        <w:spacing w:after="60"/>
      </w:pPr>
      <w:r>
        <w:rPr>
          <w:rFonts w:ascii="Calibri" w:cs="Calibri" w:eastAsia="Calibri" w:hAnsi="Calibri"/>
          <w:color w:val="2C3E50"/>
          <w:sz w:val="20"/>
          <w:szCs w:val="20"/>
        </w:rPr>
        <w:t xml:space="preserve">How is the care plan individualized? Who is involved in developing it?</w:t>
      </w:r>
    </w:p>
    <w:p>
      <w:pPr>
        <w:pStyle w:val="ListParagraph"/>
        <w:numPr>
          <w:ilvl w:val="0"/>
          <w:numId w:val="2"/>
        </w:numPr>
        <w:spacing w:after="60"/>
      </w:pPr>
      <w:r>
        <w:rPr>
          <w:rFonts w:ascii="Calibri" w:cs="Calibri" w:eastAsia="Calibri" w:hAnsi="Calibri"/>
          <w:color w:val="2C3E50"/>
          <w:sz w:val="20"/>
          <w:szCs w:val="20"/>
        </w:rPr>
        <w:t xml:space="preserve">What would you do if this patient had a fall right now? Walk me through the process.</w:t>
      </w:r>
    </w:p>
    <w:p>
      <w:pPr>
        <w:pStyle w:val="ListParagraph"/>
        <w:numPr>
          <w:ilvl w:val="0"/>
          <w:numId w:val="2"/>
        </w:numPr>
        <w:spacing w:after="60"/>
      </w:pPr>
      <w:r>
        <w:rPr>
          <w:rFonts w:ascii="Calibri" w:cs="Calibri" w:eastAsia="Calibri" w:hAnsi="Calibri"/>
          <w:color w:val="2C3E50"/>
          <w:sz w:val="20"/>
          <w:szCs w:val="20"/>
        </w:rPr>
        <w:t xml:space="preserve">How do you prevent falls on this unit? What precautions are in place?</w:t>
      </w:r>
    </w:p>
    <w:p>
      <w:pPr>
        <w:pStyle w:val="ListParagraph"/>
        <w:numPr>
          <w:ilvl w:val="0"/>
          <w:numId w:val="2"/>
        </w:numPr>
        <w:spacing w:after="60"/>
      </w:pPr>
      <w:r>
        <w:rPr>
          <w:rFonts w:ascii="Calibri" w:cs="Calibri" w:eastAsia="Calibri" w:hAnsi="Calibri"/>
          <w:color w:val="2C3E50"/>
          <w:sz w:val="20"/>
          <w:szCs w:val="20"/>
        </w:rPr>
        <w:t xml:space="preserve">How do you ensure medication safety? What do you check before administering?</w:t>
      </w:r>
    </w:p>
    <w:p>
      <w:pPr>
        <w:pStyle w:val="ListParagraph"/>
        <w:numPr>
          <w:ilvl w:val="0"/>
          <w:numId w:val="2"/>
        </w:numPr>
        <w:spacing w:after="60"/>
      </w:pPr>
      <w:r>
        <w:rPr>
          <w:rFonts w:ascii="Calibri" w:cs="Calibri" w:eastAsia="Calibri" w:hAnsi="Calibri"/>
          <w:color w:val="2C3E50"/>
          <w:sz w:val="20"/>
          <w:szCs w:val="20"/>
        </w:rPr>
        <w:t xml:space="preserve">Tell me about a quality improvement project in your area. What changed?</w:t>
      </w:r>
    </w:p>
    <w:p>
      <w:pPr>
        <w:pStyle w:val="ListParagraph"/>
        <w:numPr>
          <w:ilvl w:val="0"/>
          <w:numId w:val="2"/>
        </w:numPr>
        <w:spacing w:after="60"/>
      </w:pPr>
      <w:r>
        <w:rPr>
          <w:rFonts w:ascii="Calibri" w:cs="Calibri" w:eastAsia="Calibri" w:hAnsi="Calibri"/>
          <w:color w:val="2C3E50"/>
          <w:sz w:val="20"/>
          <w:szCs w:val="20"/>
        </w:rPr>
        <w:t xml:space="preserve">How do you report a safety incident? What happens after you report it?</w:t>
      </w:r>
    </w:p>
    <w:p>
      <w:pPr>
        <w:pStyle w:val="ListParagraph"/>
        <w:numPr>
          <w:ilvl w:val="0"/>
          <w:numId w:val="2"/>
        </w:numPr>
        <w:spacing w:after="60"/>
      </w:pPr>
      <w:r>
        <w:rPr>
          <w:rFonts w:ascii="Calibri" w:cs="Calibri" w:eastAsia="Calibri" w:hAnsi="Calibri"/>
          <w:color w:val="2C3E50"/>
          <w:sz w:val="20"/>
          <w:szCs w:val="20"/>
        </w:rPr>
        <w:t xml:space="preserve">How are responsive behaviours managed? What is GPA?</w:t>
      </w:r>
    </w:p>
    <w:p>
      <w:pPr>
        <w:pStyle w:val="ListParagraph"/>
        <w:numPr>
          <w:ilvl w:val="0"/>
          <w:numId w:val="2"/>
        </w:numPr>
        <w:spacing w:after="60"/>
      </w:pPr>
      <w:r>
        <w:rPr>
          <w:rFonts w:ascii="Calibri" w:cs="Calibri" w:eastAsia="Calibri" w:hAnsi="Calibri"/>
          <w:color w:val="2C3E50"/>
          <w:sz w:val="20"/>
          <w:szCs w:val="20"/>
        </w:rPr>
        <w:t xml:space="preserve">What hand hygiene practices do you follow? When are the 4 moments?</w:t>
      </w:r>
    </w:p>
    <w:p>
      <w:pPr>
        <w:pStyle w:val="ListParagraph"/>
        <w:numPr>
          <w:ilvl w:val="0"/>
          <w:numId w:val="2"/>
        </w:numPr>
        <w:spacing w:after="60"/>
      </w:pPr>
      <w:r>
        <w:rPr>
          <w:rFonts w:ascii="Calibri" w:cs="Calibri" w:eastAsia="Calibri" w:hAnsi="Calibri"/>
          <w:color w:val="2C3E50"/>
          <w:sz w:val="20"/>
          <w:szCs w:val="20"/>
        </w:rPr>
        <w:t xml:space="preserve">How are you involved in discharge planning?</w:t>
      </w:r>
    </w:p>
    <w:p>
      <w:pPr>
        <w:pStyle w:val="Heading2"/>
      </w:pPr>
      <w:r>
        <w:rPr>
          <w:rFonts w:ascii="Calibri" w:cs="Calibri" w:eastAsia="Calibri" w:hAnsi="Calibri"/>
          <w:b/>
          <w:bCs/>
          <w:color w:val="1F4E79"/>
          <w:sz w:val="24"/>
          <w:szCs w:val="24"/>
        </w:rPr>
        <w:t xml:space="preserve">⭐ Every Staff Member Should Know</w:t>
      </w:r>
    </w:p>
    <w:p>
      <w:pPr>
        <w:pStyle w:val="ListParagraph"/>
        <w:numPr>
          <w:ilvl w:val="0"/>
          <w:numId w:val="2"/>
        </w:numPr>
        <w:spacing w:after="60"/>
      </w:pPr>
      <w:r>
        <w:rPr>
          <w:rFonts w:ascii="Calibri" w:cs="Calibri" w:eastAsia="Calibri" w:hAnsi="Calibri"/>
          <w:color w:val="2C3E50"/>
          <w:sz w:val="20"/>
          <w:szCs w:val="20"/>
        </w:rPr>
        <w:t xml:space="preserve">Our mission: “Unstoppable Compassion.”</w:t>
      </w:r>
    </w:p>
    <w:p>
      <w:pPr>
        <w:pStyle w:val="ListParagraph"/>
        <w:numPr>
          <w:ilvl w:val="0"/>
          <w:numId w:val="2"/>
        </w:numPr>
        <w:spacing w:after="60"/>
      </w:pPr>
      <w:r>
        <w:rPr>
          <w:rFonts w:ascii="Calibri" w:cs="Calibri" w:eastAsia="Calibri" w:hAnsi="Calibri"/>
          <w:color w:val="2C3E50"/>
          <w:sz w:val="20"/>
          <w:szCs w:val="20"/>
        </w:rPr>
        <w:t xml:space="preserve">Our values: Dignity, Respect, Service, Responsibility, Justice, and Discovery.</w:t>
      </w:r>
    </w:p>
    <w:p>
      <w:pPr>
        <w:pStyle w:val="ListParagraph"/>
        <w:numPr>
          <w:ilvl w:val="0"/>
          <w:numId w:val="2"/>
        </w:numPr>
        <w:spacing w:after="60"/>
      </w:pPr>
      <w:r>
        <w:rPr>
          <w:rFonts w:ascii="Calibri" w:cs="Calibri" w:eastAsia="Calibri" w:hAnsi="Calibri"/>
          <w:color w:val="2C3E50"/>
          <w:sz w:val="20"/>
          <w:szCs w:val="20"/>
        </w:rPr>
        <w:t xml:space="preserve">SJHS Shared Plan 2025–30 “Unstoppable Compassion” has three strategic directions: Advance Health, Amplify Impact, Invest in Teams.</w:t>
      </w:r>
    </w:p>
    <w:p>
      <w:pPr>
        <w:pStyle w:val="ListParagraph"/>
        <w:numPr>
          <w:ilvl w:val="0"/>
          <w:numId w:val="2"/>
        </w:numPr>
        <w:spacing w:after="60"/>
      </w:pPr>
      <w:r>
        <w:rPr>
          <w:rFonts w:ascii="Calibri" w:cs="Calibri" w:eastAsia="Calibri" w:hAnsi="Calibri"/>
          <w:color w:val="2C3E50"/>
          <w:sz w:val="20"/>
          <w:szCs w:val="20"/>
        </w:rPr>
        <w:t xml:space="preserve">Governance: SJHCG is part of St. Joseph’s Health System (SJHS) under a bipartite governance model. Local Board ensures site accountability; SJHS Board provides system oversight.</w:t>
      </w:r>
    </w:p>
    <w:p>
      <w:pPr>
        <w:pStyle w:val="ListParagraph"/>
        <w:numPr>
          <w:ilvl w:val="0"/>
          <w:numId w:val="2"/>
        </w:numPr>
        <w:spacing w:after="60"/>
      </w:pPr>
      <w:r>
        <w:rPr>
          <w:rFonts w:ascii="Calibri" w:cs="Calibri" w:eastAsia="Calibri" w:hAnsi="Calibri"/>
          <w:color w:val="2C3E50"/>
          <w:sz w:val="20"/>
          <w:szCs w:val="20"/>
        </w:rPr>
        <w:t xml:space="preserve">Campus of Care: We offer a seamless continuum — community support, inpatient rehabilitation (42 beds), LTC (240 beds), and palliative care (8 beds).</w:t>
      </w:r>
    </w:p>
    <w:p>
      <w:pPr>
        <w:pStyle w:val="ListParagraph"/>
        <w:numPr>
          <w:ilvl w:val="0"/>
          <w:numId w:val="2"/>
        </w:numPr>
        <w:spacing w:after="60"/>
      </w:pPr>
      <w:r>
        <w:rPr>
          <w:rFonts w:ascii="Calibri" w:cs="Calibri" w:eastAsia="Calibri" w:hAnsi="Calibri"/>
          <w:color w:val="2C3E50"/>
          <w:sz w:val="20"/>
          <w:szCs w:val="20"/>
        </w:rPr>
        <w:t xml:space="preserve">Where to find policies: Pulse (intranet). How to report an incident: RL Solutions.</w:t>
      </w:r>
    </w:p>
    <w:p>
      <w:pPr>
        <w:pStyle w:val="ListParagraph"/>
        <w:numPr>
          <w:ilvl w:val="0"/>
          <w:numId w:val="2"/>
        </w:numPr>
        <w:spacing w:after="60"/>
      </w:pPr>
      <w:r>
        <w:rPr>
          <w:rFonts w:ascii="Calibri" w:cs="Calibri" w:eastAsia="Calibri" w:hAnsi="Calibri"/>
          <w:color w:val="2C3E50"/>
          <w:sz w:val="20"/>
          <w:szCs w:val="20"/>
        </w:rPr>
        <w:t xml:space="preserve">The 4 Moments of Hand Hygiene: Before contact, before aseptic procedure, after body fluid risk, after contact.</w:t>
      </w:r>
    </w:p>
    <w:p>
      <w:pPr>
        <w:pStyle w:val="ListParagraph"/>
        <w:numPr>
          <w:ilvl w:val="0"/>
          <w:numId w:val="2"/>
        </w:numPr>
        <w:spacing w:after="60"/>
      </w:pPr>
      <w:r>
        <w:rPr>
          <w:rFonts w:ascii="Calibri" w:cs="Calibri" w:eastAsia="Calibri" w:hAnsi="Calibri"/>
          <w:color w:val="2C3E50"/>
          <w:sz w:val="20"/>
          <w:szCs w:val="20"/>
        </w:rPr>
        <w:t xml:space="preserve">GPA (Gentle Persuasive Approaches): A framework for responding to responsive behaviours with empathy. If you’ve completed GPA training, say so.</w:t>
      </w:r>
    </w:p>
    <w:p>
      <w:pPr>
        <w:pStyle w:val="ListParagraph"/>
        <w:numPr>
          <w:ilvl w:val="0"/>
          <w:numId w:val="2"/>
        </w:numPr>
        <w:spacing w:after="60"/>
      </w:pPr>
      <w:r>
        <w:rPr>
          <w:rFonts w:ascii="Calibri" w:cs="Calibri" w:eastAsia="Calibri" w:hAnsi="Calibri"/>
          <w:color w:val="2C3E50"/>
          <w:sz w:val="20"/>
          <w:szCs w:val="20"/>
        </w:rPr>
        <w:t xml:space="preserve">Falls prevention is an ROP — know the fall risk assessment tool and universal precautions.</w:t>
      </w:r>
    </w:p>
    <w:p>
      <w:pPr>
        <w:pStyle w:val="ListParagraph"/>
        <w:numPr>
          <w:ilvl w:val="0"/>
          <w:numId w:val="2"/>
        </w:numPr>
        <w:spacing w:after="60"/>
      </w:pPr>
      <w:r>
        <w:rPr>
          <w:rFonts w:ascii="Calibri" w:cs="Calibri" w:eastAsia="Calibri" w:hAnsi="Calibri"/>
          <w:color w:val="2C3E50"/>
          <w:sz w:val="20"/>
          <w:szCs w:val="20"/>
        </w:rPr>
        <w:t xml:space="preserve">Person-centred care means knowing who the resident is, not just what their diagnosis is.</w:t>
      </w:r>
    </w:p>
    <w:p>
      <w:pPr>
        <w:pStyle w:val="ListParagraph"/>
        <w:numPr>
          <w:ilvl w:val="0"/>
          <w:numId w:val="2"/>
        </w:numPr>
        <w:spacing w:after="60"/>
      </w:pPr>
      <w:r>
        <w:rPr>
          <w:rFonts w:ascii="Calibri" w:cs="Calibri" w:eastAsia="Calibri" w:hAnsi="Calibri"/>
          <w:color w:val="2C3E50"/>
          <w:sz w:val="20"/>
          <w:szCs w:val="20"/>
        </w:rPr>
        <w:t xml:space="preserve">Medication reconciliation at transitions (admission, transfer, discharge) is an ROP.</w:t>
      </w:r>
    </w:p>
    <w:p>
      <w:pPr>
        <w:pStyle w:val="Heading2"/>
      </w:pPr>
      <w:r>
        <w:rPr>
          <w:rFonts w:ascii="Calibri" w:cs="Calibri" w:eastAsia="Calibri" w:hAnsi="Calibri"/>
          <w:b/>
          <w:bCs/>
          <w:color w:val="1F4E79"/>
          <w:sz w:val="24"/>
          <w:szCs w:val="24"/>
        </w:rPr>
        <w:t xml:space="preserve">💡 Tips for Talking to a Surveyor</w:t>
      </w:r>
    </w:p>
    <w:p>
      <w:pPr>
        <w:pStyle w:val="ListParagraph"/>
        <w:numPr>
          <w:ilvl w:val="0"/>
          <w:numId w:val="2"/>
        </w:numPr>
        <w:spacing w:after="60"/>
      </w:pPr>
      <w:r>
        <w:rPr>
          <w:rFonts w:ascii="Calibri" w:cs="Calibri" w:eastAsia="Calibri" w:hAnsi="Calibri"/>
          <w:color w:val="2C3E50"/>
          <w:sz w:val="20"/>
          <w:szCs w:val="20"/>
        </w:rPr>
        <w:t xml:space="preserve">Be honest — if you don’t know, say “I’m not sure, but I would check with my manager” or “I’d look it up on Pulse.”</w:t>
      </w:r>
    </w:p>
    <w:p>
      <w:pPr>
        <w:pStyle w:val="ListParagraph"/>
        <w:numPr>
          <w:ilvl w:val="0"/>
          <w:numId w:val="2"/>
        </w:numPr>
        <w:spacing w:after="60"/>
      </w:pPr>
      <w:r>
        <w:rPr>
          <w:rFonts w:ascii="Calibri" w:cs="Calibri" w:eastAsia="Calibri" w:hAnsi="Calibri"/>
          <w:color w:val="2C3E50"/>
          <w:sz w:val="20"/>
          <w:szCs w:val="20"/>
        </w:rPr>
        <w:t xml:space="preserve">Use real examples — “Last week, I…” is better than textbook answers.</w:t>
      </w:r>
    </w:p>
    <w:p>
      <w:pPr>
        <w:pStyle w:val="ListParagraph"/>
        <w:numPr>
          <w:ilvl w:val="0"/>
          <w:numId w:val="2"/>
        </w:numPr>
        <w:spacing w:after="60"/>
      </w:pPr>
      <w:r>
        <w:rPr>
          <w:rFonts w:ascii="Calibri" w:cs="Calibri" w:eastAsia="Calibri" w:hAnsi="Calibri"/>
          <w:color w:val="2C3E50"/>
          <w:sz w:val="20"/>
          <w:szCs w:val="20"/>
        </w:rPr>
        <w:t xml:space="preserve">Know where to find policies — Pulse (intranet). You don’t need to memorize policy numbers.</w:t>
      </w:r>
    </w:p>
    <w:p>
      <w:pPr>
        <w:pStyle w:val="ListParagraph"/>
        <w:numPr>
          <w:ilvl w:val="0"/>
          <w:numId w:val="2"/>
        </w:numPr>
        <w:spacing w:after="60"/>
      </w:pPr>
      <w:r>
        <w:rPr>
          <w:rFonts w:ascii="Calibri" w:cs="Calibri" w:eastAsia="Calibri" w:hAnsi="Calibri"/>
          <w:color w:val="2C3E50"/>
          <w:sz w:val="20"/>
          <w:szCs w:val="20"/>
        </w:rPr>
        <w:t xml:space="preserve">It’s a conversation, not a test. They want to understand what you do, not catch you out.</w:t>
      </w:r>
    </w:p>
    <w:p>
      <w:pPr>
        <w:pStyle w:val="ListParagraph"/>
        <w:numPr>
          <w:ilvl w:val="0"/>
          <w:numId w:val="2"/>
        </w:numPr>
        <w:spacing w:after="60"/>
      </w:pPr>
      <w:r>
        <w:rPr>
          <w:rFonts w:ascii="Calibri" w:cs="Calibri" w:eastAsia="Calibri" w:hAnsi="Calibri"/>
          <w:color w:val="2C3E50"/>
          <w:sz w:val="20"/>
          <w:szCs w:val="20"/>
        </w:rPr>
        <w:t xml:space="preserve">If you see something not right, show them how you’d report it (RL Solutions, tell your manager).</w:t>
      </w:r>
    </w:p>
    <w:p>
      <w:pPr>
        <w:pStyle w:val="ListParagraph"/>
        <w:numPr>
          <w:ilvl w:val="0"/>
          <w:numId w:val="2"/>
        </w:numPr>
        <w:spacing w:after="60"/>
      </w:pPr>
      <w:r>
        <w:rPr>
          <w:rFonts w:ascii="Calibri" w:cs="Calibri" w:eastAsia="Calibri" w:hAnsi="Calibri"/>
          <w:color w:val="2C3E50"/>
          <w:sz w:val="20"/>
          <w:szCs w:val="20"/>
        </w:rPr>
        <w:t xml:space="preserve">Know the strategic plan name (“Unstoppable Compassion”) and connect your work to at least one strategic direction.</w:t>
      </w:r>
    </w:p>
    <w:p>
      <w:pPr>
        <w:pStyle w:val="Heading2"/>
      </w:pPr>
      <w:r>
        <w:rPr>
          <w:rFonts w:ascii="Calibri" w:cs="Calibri" w:eastAsia="Calibri" w:hAnsi="Calibri"/>
          <w:b/>
          <w:bCs/>
          <w:color w:val="1F4E79"/>
          <w:sz w:val="24"/>
          <w:szCs w:val="24"/>
        </w:rPr>
        <w:t xml:space="preserve">🚨 Areas to Strengthen Before May 4</w:t>
      </w:r>
    </w:p>
    <w:p>
      <w:pPr>
        <w:pStyle w:val="ListParagraph"/>
        <w:numPr>
          <w:ilvl w:val="0"/>
          <w:numId w:val="2"/>
        </w:numPr>
        <w:spacing w:after="60"/>
      </w:pPr>
      <w:r>
        <w:rPr>
          <w:rFonts w:ascii="Calibri" w:cs="Calibri" w:eastAsia="Calibri" w:hAnsi="Calibri"/>
          <w:color w:val="2C3E50"/>
          <w:sz w:val="20"/>
          <w:szCs w:val="20"/>
        </w:rPr>
        <w:t xml:space="preserve">Know 3–5 residents/patients well enough to describe them as PEOPLE, not diagnoses.</w:t>
      </w:r>
    </w:p>
    <w:p>
      <w:pPr>
        <w:pStyle w:val="ListParagraph"/>
        <w:numPr>
          <w:ilvl w:val="0"/>
          <w:numId w:val="2"/>
        </w:numPr>
        <w:spacing w:after="60"/>
      </w:pPr>
      <w:r>
        <w:rPr>
          <w:rFonts w:ascii="Calibri" w:cs="Calibri" w:eastAsia="Calibri" w:hAnsi="Calibri"/>
          <w:color w:val="2C3E50"/>
          <w:sz w:val="20"/>
          <w:szCs w:val="20"/>
        </w:rPr>
        <w:t xml:space="preserve">Be able to describe how a care plan reflects individual preferences, goals, and cultural needs.</w:t>
      </w:r>
    </w:p>
    <w:p>
      <w:pPr>
        <w:pStyle w:val="ListParagraph"/>
        <w:numPr>
          <w:ilvl w:val="0"/>
          <w:numId w:val="2"/>
        </w:numPr>
        <w:spacing w:after="60"/>
      </w:pPr>
      <w:r>
        <w:rPr>
          <w:rFonts w:ascii="Calibri" w:cs="Calibri" w:eastAsia="Calibri" w:hAnsi="Calibri"/>
          <w:color w:val="2C3E50"/>
          <w:sz w:val="20"/>
          <w:szCs w:val="20"/>
        </w:rPr>
        <w:t xml:space="preserve">Review your hand hygiene practice — know the 4 Moments and your unit’s compliance rate.</w:t>
      </w:r>
    </w:p>
    <w:p>
      <w:pPr>
        <w:pStyle w:val="ListParagraph"/>
        <w:numPr>
          <w:ilvl w:val="0"/>
          <w:numId w:val="2"/>
        </w:numPr>
        <w:spacing w:after="60"/>
      </w:pPr>
      <w:r>
        <w:rPr>
          <w:rFonts w:ascii="Calibri" w:cs="Calibri" w:eastAsia="Calibri" w:hAnsi="Calibri"/>
          <w:color w:val="2C3E50"/>
          <w:sz w:val="20"/>
          <w:szCs w:val="20"/>
        </w:rPr>
        <w:t xml:space="preserve">Prepare ONE quality improvement example from your area with a measurable outcome.</w:t>
      </w:r>
    </w:p>
    <w:p>
      <w:pPr>
        <w:pStyle w:val="ListParagraph"/>
        <w:numPr>
          <w:ilvl w:val="0"/>
          <w:numId w:val="2"/>
        </w:numPr>
        <w:spacing w:after="60"/>
      </w:pPr>
      <w:r>
        <w:rPr>
          <w:rFonts w:ascii="Calibri" w:cs="Calibri" w:eastAsia="Calibri" w:hAnsi="Calibri"/>
          <w:color w:val="2C3E50"/>
          <w:sz w:val="20"/>
          <w:szCs w:val="20"/>
        </w:rPr>
        <w:t xml:space="preserve">Review fall prevention protocols and pressure injury prevention for your unit.</w:t>
      </w:r>
    </w:p>
    <w:p>
      <w:pPr>
        <w:pStyle w:val="ListParagraph"/>
        <w:numPr>
          <w:ilvl w:val="0"/>
          <w:numId w:val="2"/>
        </w:numPr>
        <w:spacing w:after="60"/>
      </w:pPr>
      <w:r>
        <w:rPr>
          <w:rFonts w:ascii="Calibri" w:cs="Calibri" w:eastAsia="Calibri" w:hAnsi="Calibri"/>
          <w:color w:val="2C3E50"/>
          <w:sz w:val="20"/>
          <w:szCs w:val="20"/>
        </w:rPr>
        <w:t xml:space="preserve">Ensure you know how to report an incident in RL Solutions.</w:t>
      </w:r>
    </w:p>
    <w:p>
      <w:pPr>
        <w:pStyle w:val="ListParagraph"/>
        <w:numPr>
          <w:ilvl w:val="0"/>
          <w:numId w:val="2"/>
        </w:numPr>
        <w:spacing w:after="60"/>
      </w:pPr>
      <w:r>
        <w:rPr>
          <w:rFonts w:ascii="Calibri" w:cs="Calibri" w:eastAsia="Calibri" w:hAnsi="Calibri"/>
          <w:color w:val="2C3E50"/>
          <w:sz w:val="20"/>
          <w:szCs w:val="20"/>
        </w:rPr>
        <w:t xml:space="preserve">Know the strategic plan name (“Unstoppable Compassion”) and how your work connects to it.</w:t>
      </w:r>
    </w:p>
    <w:p>
      <w:pPr>
        <w:pBdr>
          <w:top w:val="single" w:color="1F4E79" w:sz="2" w:space="4"/>
        </w:pBdr>
        <w:spacing w:before="200"/>
      </w:pPr>
      <w:r>
        <w:rPr>
          <w:rFonts w:ascii="Calibri" w:cs="Calibri" w:eastAsia="Calibri" w:hAnsi="Calibri"/>
          <w:i/>
          <w:iCs/>
          <w:color w:val="888888"/>
          <w:sz w:val="16"/>
          <w:szCs w:val="16"/>
        </w:rPr>
        <w:t xml:space="preserve">Questions? Contact the Accreditation Project Lead for a pre-survey briefing.</w:t>
      </w:r>
      <w:r>
        <w:rPr>
          <w:rFonts w:ascii="Calibri" w:cs="Calibri" w:eastAsia="Calibri" w:hAnsi="Calibri"/>
          <w:i/>
          <w:iCs/>
          <w:color w:val="888888"/>
          <w:sz w:val="16"/>
          <w:szCs w:val="16"/>
        </w:rPr>
        <w:t xml:space="preserve">  |  Tracer rehearsal: ac2026sjhcg.netlify.app</w:t>
      </w:r>
    </w:p>
    <w:sectPr>
      <w:pgSz w:w="12240" w:h="15840" w:orient="portrait"/>
      <w:pgMar w:top="720" w:right="864" w:bottom="720"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bullet"/>
      <w:lvlText w:val="☐"/>
      <w:lvlJc w:val="left"/>
      <w:pPr>
        <w:ind w:left="540" w:hanging="360"/>
      </w:pPr>
    </w:lvl>
  </w:abstractNum>
  <w:abstractNum w:abstractNumId="4"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Calibri" w:cs="Calibri" w:eastAsia="Calibri" w:hAnsi="Calibri"/>
      <w:b/>
      <w:bCs/>
      <w:color w:val="1F4E79"/>
      <w:sz w:val="28"/>
      <w:szCs w:val="28"/>
    </w:rPr>
  </w:style>
  <w:style w:type="paragraph" w:styleId="Heading2">
    <w:name w:val="Heading 2"/>
    <w:basedOn w:val="Normal"/>
    <w:next w:val="Normal"/>
    <w:qFormat/>
    <w:pPr>
      <w:spacing w:after="100" w:before="20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2026-03-16T02:40:51.572Z</dcterms:created>
  <dcterms:modified xsi:type="dcterms:W3CDTF">2026-03-16T02:40:51.572Z</dcterms:modified>
</cp:coreProperties>
</file>

<file path=docProps/custom.xml><?xml version="1.0" encoding="utf-8"?>
<Properties xmlns="http://schemas.openxmlformats.org/officeDocument/2006/custom-properties" xmlns:vt="http://schemas.openxmlformats.org/officeDocument/2006/docPropsVTypes"/>
</file>