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ACCREDITATION BRIEFING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VP Finance, Information Services &amp; CFO | 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CONTEXT: YOUR ROLE IN THE MAY 4–6 SURVEY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As VP Finance, Information Services, and CFO, you represent the financial stewardship and resource management functions. Karen Biggs will lead the Resource Management session on Day 3 (0930–1030), probing how financial planning supports quality, how capital decisions incorporate safety, and how resource constraints are managed. As a shared-services VP covering two sites, be prepared to demonstrate specific knowledge of SJHCG’s financial and information systems landscape.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SURVEY SCHEDULE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0830–0930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Discussion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0930–1030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Resource Management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Wed 1000–1030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Debriefing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All surveyors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🔍 SURVEYOR INTELLIGENCE: </w:t>
      </w:r>
      <w:r>
        <w:rPr>
          <w:rFonts w:ascii="Calibri" w:cs="Calibri" w:eastAsia="Calibri" w:hAnsi="Calibri"/>
          <w:color w:val="2C3E50"/>
          <w:sz w:val="20"/>
          <w:szCs w:val="20"/>
        </w:rPr>
        <w:t xml:space="preserve">Karen Biggs: In Resource Management, she probes whether financial decisions demonstrably support quality/safety. She wants evidence the budget process includes clinical quality considerations, not just bottom-line management.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SURVEYORS WILL ASK YOU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budget process incorporate quality and safety priorities?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Give an example where a safety concern drove a capital investment.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manage financial constraints without compromising care quality?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information systems support clinical decision-making at SJHCG?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shared-services model ensure equitable resource distribution?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SJHCG AT A GLANCE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346-bed integrated facility: LTC (240), Rehab (42), CMC (30), Palliative (8), Community.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3 sites: 100 Westmount Rd, 25 Wellington St, 234 St. Patrick St E Fergus.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~700 staff. Part of SJHS (faith-based, not-for-profit). Bipartite governance.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Strategic plan: “Unstoppable Compassion” 2025–30. 2022: Exemplary Standing.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Current compliance: 97.7% overall | Leadership: 98.5%.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THE RESTRUCTURING NARRATIVE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✅ Key Talking Points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"The integrated financial model provides SJHCG with system-level purchasing power while maintaining dedicated local financial management."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"Capital allocation decisions are informed by both financial analysis and clinical quality priorities."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"Financial reporting to the Local Board includes quality and safety metrics alongside operational data."</w:t>
            </w:r>
          </w:p>
        </w:tc>
      </w:tr>
    </w:tbl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PREPARATION CHECKLIST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a capital allocation example demonstrating patient safety consideration.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the Local Board’s financial and quality reporting cadence.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“Unstoppable Compassion” — how resource management enables the strategic directions.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the Accreditation Project Lead for a walkthrough.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2026-03-16T16:23:43.189Z</dcterms:created>
  <dcterms:modified xsi:type="dcterms:W3CDTF">2026-03-16T16:23:43.189Z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