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ACCREDITATION BRIEFING</w:t>
            </w:r>
          </w:p>
          <w:p>
            <w:pPr>
              <w:jc w:val="center"/>
            </w:pPr>
            <w:r>
              <w:rPr>
                <w:rFonts w:ascii="Calibri" w:cs="Calibri" w:eastAsia="Calibri" w:hAnsi="Calibri"/>
                <w:color w:val="C19A3E"/>
                <w:sz w:val="20"/>
                <w:szCs w:val="20"/>
              </w:rPr>
              <w:t xml:space="preserve">VP Clinical Services &amp; CNE | Survey: May 4–6, 2026</w:t>
            </w:r>
          </w:p>
        </w:tc>
      </w:tr>
    </w:tbl>
    <w:p>
      <w:pPr>
        <w:spacing w:after="40"/>
      </w:pPr>
    </w:p>
    <w:p>
      <w:pPr>
        <w:pStyle w:val="Heading2"/>
      </w:pPr>
      <w:r>
        <w:rPr>
          <w:rFonts w:ascii="Calibri" w:cs="Calibri" w:eastAsia="Calibri" w:hAnsi="Calibri"/>
          <w:b/>
          <w:bCs/>
          <w:color w:val="1F4E79"/>
          <w:sz w:val="24"/>
          <w:szCs w:val="24"/>
        </w:rPr>
        <w:t xml:space="preserve">CONTEXT: YOUR ROLE IN THE MAY 4–6 SURVEY</w:t>
      </w:r>
    </w:p>
    <w:p>
      <w:pPr>
        <w:spacing w:after="100"/>
      </w:pPr>
      <w:r>
        <w:rPr>
          <w:rFonts w:ascii="Calibri" w:cs="Calibri" w:eastAsia="Calibri" w:hAnsi="Calibri"/>
          <w:color w:val="2C3E50"/>
          <w:sz w:val="20"/>
          <w:szCs w:val="20"/>
        </w:rPr>
        <w:t xml:space="preserve">As VP Clinical Services and Chief Nursing Executive, you are the second most visible leader during the survey. You are in 7 sessions across both days, covering IPAC, quality management, ethics, governance, emergency preparedness, and the opening leadership group. In 2022, the VP Clinical/CNE attended the Leadership Discussion Group, Planning, IQM, Principle-Based Care, and IPAC.</w:t>
      </w:r>
    </w:p>
    <w:p>
      <w:pPr>
        <w:spacing w:after="100"/>
      </w:pPr>
      <w:r>
        <w:rPr>
          <w:rFonts w:ascii="Calibri" w:cs="Calibri" w:eastAsia="Calibri" w:hAnsi="Calibri"/>
          <w:color w:val="2C3E50"/>
          <w:sz w:val="20"/>
          <w:szCs w:val="20"/>
        </w:rPr>
        <w:t xml:space="preserve">You bridge clinical operations and organizational leadership. Surveyors will expect you to speak to clinical quality, patient safety culture, nursing practice, IPAC oversight, and how clinical services connect to the strategic plan. Karen Biggs leads most sessions; Kelly Stark leads IPAC and Emergency Prep.</w:t>
      </w:r>
    </w:p>
    <w:p>
      <w:pPr>
        <w:spacing w:after="100"/>
      </w:pPr>
      <w:r>
        <w:rPr>
          <w:rFonts w:ascii="Calibri" w:cs="Calibri" w:eastAsia="Calibri" w:hAnsi="Calibri"/>
          <w:b/>
          <w:bCs/>
          <w:color w:val="C03929"/>
          <w:sz w:val="20"/>
          <w:szCs w:val="20"/>
        </w:rPr>
        <w:t xml:space="preserve">⚠️ SCHEDULE CONFLICT: </w:t>
      </w:r>
      <w:r>
        <w:rPr>
          <w:rFonts w:ascii="Calibri" w:cs="Calibri" w:eastAsia="Calibri" w:hAnsi="Calibri"/>
          <w:color w:val="2C3E50"/>
          <w:sz w:val="20"/>
          <w:szCs w:val="20"/>
        </w:rPr>
        <w:t xml:space="preserve">IPAC (1000–1200 with Kelly Stark) overlaps with Planning &amp; Service Design (1100–1200 with Karen Biggs). You may need to leave IPAC early for Planning, or arrange a delegate. Coordinate with the Accreditation Project Lead.</w:t>
      </w:r>
    </w:p>
    <w:p>
      <w:pPr>
        <w:pStyle w:val="Heading2"/>
      </w:pPr>
      <w:r>
        <w:rPr>
          <w:rFonts w:ascii="Calibri" w:cs="Calibri" w:eastAsia="Calibri" w:hAnsi="Calibri"/>
          <w:b/>
          <w:bCs/>
          <w:color w:val="1F4E79"/>
          <w:sz w:val="24"/>
          <w:szCs w:val="24"/>
        </w:rPr>
        <w:t xml:space="preserve">YOUR SURVEY SCHEDULE</w:t>
      </w: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2000"/>
        <w:gridCol w:w="5512"/>
        <w:gridCol w:w="3000"/>
      </w:tblGrid>
      <w:tr>
        <w:tc>
          <w:tcPr>
            <w:tcW w:type="dxa" w:w="20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Time</w:t>
            </w:r>
          </w:p>
        </w:tc>
        <w:tc>
          <w:tcPr>
            <w:tcW w:type="dxa" w:w="55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Session</w:t>
            </w:r>
          </w:p>
        </w:tc>
        <w:tc>
          <w:tcPr>
            <w:tcW w:type="dxa" w:w="30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Surveyor</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0830–0930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Leadership Discussion Group</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1000–1200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IPAC + Medical Devices &amp; Equipment</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Kelly Stark</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1100–1200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Planning &amp; Service Design</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1300–1430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Integrated Quality Management</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1430–1530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Principle-Based Care &amp; Decision Making</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Tue 0800–0930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Human Capital</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Tue 0830–0930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Emergency Preparedness</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Kelly Stark</w:t>
            </w:r>
          </w:p>
        </w:tc>
      </w:tr>
    </w:tbl>
    <w:p>
      <w:pPr>
        <w:spacing w:after="40"/>
      </w:pPr>
    </w:p>
    <w:p>
      <w:pPr>
        <w:spacing w:after="100"/>
      </w:pPr>
      <w:r>
        <w:rPr>
          <w:rFonts w:ascii="Calibri" w:cs="Calibri" w:eastAsia="Calibri" w:hAnsi="Calibri"/>
          <w:b/>
          <w:bCs/>
          <w:color w:val="2C3E50"/>
          <w:sz w:val="20"/>
          <w:szCs w:val="20"/>
        </w:rPr>
        <w:t xml:space="preserve">🔍 SURVEYOR INTELLIGENCE: </w:t>
      </w:r>
      <w:r>
        <w:rPr>
          <w:rFonts w:ascii="Calibri" w:cs="Calibri" w:eastAsia="Calibri" w:hAnsi="Calibri"/>
          <w:color w:val="2C3E50"/>
          <w:sz w:val="20"/>
          <w:szCs w:val="20"/>
        </w:rPr>
        <w:t xml:space="preserve">Karen Biggs: Retired CEO, Fellow CCHL, probes governance and quality with depth. Kelly Stark: Sr Director Rehab/Ambulatory (Covenant Health), MBA, BPT — strong on clinical ops, IPAC, evidence-based practice. She led IPAC in 2022.</w:t>
      </w:r>
    </w:p>
    <w:p>
      <w:pPr>
        <w:pStyle w:val="Heading2"/>
      </w:pPr>
      <w:r>
        <w:rPr>
          <w:rFonts w:ascii="Calibri" w:cs="Calibri" w:eastAsia="Calibri" w:hAnsi="Calibri"/>
          <w:b/>
          <w:bCs/>
          <w:color w:val="1F4E79"/>
          <w:sz w:val="24"/>
          <w:szCs w:val="24"/>
        </w:rPr>
        <w:t xml:space="preserve">WHAT SURVEYORS WILL ASK YOU</w:t>
      </w:r>
    </w:p>
    <w:p>
      <w:pPr>
        <w:pStyle w:val="ListParagraph"/>
        <w:numPr>
          <w:ilvl w:val="0"/>
          <w:numId w:val="2"/>
        </w:numPr>
        <w:spacing w:after="60"/>
      </w:pPr>
      <w:r>
        <w:rPr>
          <w:rFonts w:ascii="Calibri" w:cs="Calibri" w:eastAsia="Calibri" w:hAnsi="Calibri"/>
          <w:color w:val="2C3E50"/>
          <w:sz w:val="20"/>
          <w:szCs w:val="20"/>
        </w:rPr>
        <w:t xml:space="preserve">How is the split IPAC model (Hospital vs LTC) coordinated? Who provides oversight?</w:t>
      </w:r>
    </w:p>
    <w:p>
      <w:pPr>
        <w:pStyle w:val="ListParagraph"/>
        <w:numPr>
          <w:ilvl w:val="0"/>
          <w:numId w:val="2"/>
        </w:numPr>
        <w:spacing w:after="60"/>
      </w:pPr>
      <w:r>
        <w:rPr>
          <w:rFonts w:ascii="Calibri" w:cs="Calibri" w:eastAsia="Calibri" w:hAnsi="Calibri"/>
          <w:color w:val="2C3E50"/>
          <w:sz w:val="20"/>
          <w:szCs w:val="20"/>
        </w:rPr>
        <w:t xml:space="preserve">What is the hand hygiene compliance rate? What’s the QI plan to improve it?</w:t>
      </w:r>
    </w:p>
    <w:p>
      <w:pPr>
        <w:pStyle w:val="ListParagraph"/>
        <w:numPr>
          <w:ilvl w:val="0"/>
          <w:numId w:val="2"/>
        </w:numPr>
        <w:spacing w:after="60"/>
      </w:pPr>
      <w:r>
        <w:rPr>
          <w:rFonts w:ascii="Calibri" w:cs="Calibri" w:eastAsia="Calibri" w:hAnsi="Calibri"/>
          <w:color w:val="2C3E50"/>
          <w:sz w:val="20"/>
          <w:szCs w:val="20"/>
        </w:rPr>
        <w:t xml:space="preserve">Walk me through a recent outbreak: timeline, response, lessons, changes.</w:t>
      </w:r>
    </w:p>
    <w:p>
      <w:pPr>
        <w:pStyle w:val="ListParagraph"/>
        <w:numPr>
          <w:ilvl w:val="0"/>
          <w:numId w:val="2"/>
        </w:numPr>
        <w:spacing w:after="60"/>
      </w:pPr>
      <w:r>
        <w:rPr>
          <w:rFonts w:ascii="Calibri" w:cs="Calibri" w:eastAsia="Calibri" w:hAnsi="Calibri"/>
          <w:color w:val="2C3E50"/>
          <w:sz w:val="20"/>
          <w:szCs w:val="20"/>
        </w:rPr>
        <w:t xml:space="preserve">How do you ensure patient safety incident management from detection to disclosure?</w:t>
      </w:r>
    </w:p>
    <w:p>
      <w:pPr>
        <w:pStyle w:val="ListParagraph"/>
        <w:numPr>
          <w:ilvl w:val="0"/>
          <w:numId w:val="2"/>
        </w:numPr>
        <w:spacing w:after="60"/>
      </w:pPr>
      <w:r>
        <w:rPr>
          <w:rFonts w:ascii="Calibri" w:cs="Calibri" w:eastAsia="Calibri" w:hAnsi="Calibri"/>
          <w:color w:val="2C3E50"/>
          <w:sz w:val="20"/>
          <w:szCs w:val="20"/>
        </w:rPr>
        <w:t xml:space="preserve">Describe an ethical dilemma and how it was resolved.</w:t>
      </w:r>
    </w:p>
    <w:p>
      <w:pPr>
        <w:pStyle w:val="ListParagraph"/>
        <w:numPr>
          <w:ilvl w:val="0"/>
          <w:numId w:val="2"/>
        </w:numPr>
        <w:spacing w:after="60"/>
      </w:pPr>
      <w:r>
        <w:rPr>
          <w:rFonts w:ascii="Calibri" w:cs="Calibri" w:eastAsia="Calibri" w:hAnsi="Calibri"/>
          <w:color w:val="2C3E50"/>
          <w:sz w:val="20"/>
          <w:szCs w:val="20"/>
        </w:rPr>
        <w:t xml:space="preserve">What QI projects are running? How do they link to “Unstoppable Compassion”?</w:t>
      </w:r>
    </w:p>
    <w:p>
      <w:pPr>
        <w:pStyle w:val="ListParagraph"/>
        <w:numPr>
          <w:ilvl w:val="0"/>
          <w:numId w:val="2"/>
        </w:numPr>
        <w:spacing w:after="60"/>
      </w:pPr>
      <w:r>
        <w:rPr>
          <w:rFonts w:ascii="Calibri" w:cs="Calibri" w:eastAsia="Calibri" w:hAnsi="Calibri"/>
          <w:color w:val="2C3E50"/>
          <w:sz w:val="20"/>
          <w:szCs w:val="20"/>
        </w:rPr>
        <w:t xml:space="preserve">How does emergency preparedness work? Drill frequency? Command structure?</w:t>
      </w:r>
    </w:p>
    <w:p>
      <w:pPr>
        <w:pStyle w:val="Heading2"/>
      </w:pPr>
      <w:r>
        <w:rPr>
          <w:rFonts w:ascii="Calibri" w:cs="Calibri" w:eastAsia="Calibri" w:hAnsi="Calibri"/>
          <w:b/>
          <w:bCs/>
          <w:color w:val="1F4E79"/>
          <w:sz w:val="24"/>
          <w:szCs w:val="24"/>
        </w:rPr>
        <w:t xml:space="preserve">KEY GAPS &amp; ROPS IN YOUR PORTFOLIO</w:t>
      </w:r>
    </w:p>
    <w:p>
      <w:pPr>
        <w:spacing w:after="100"/>
      </w:pPr>
      <w:r>
        <w:rPr>
          <w:rFonts w:ascii="Calibri" w:cs="Calibri" w:eastAsia="Calibri" w:hAnsi="Calibri"/>
          <w:b/>
          <w:bCs/>
          <w:color w:val="2C3E50"/>
          <w:sz w:val="20"/>
          <w:szCs w:val="20"/>
        </w:rPr>
        <w:t xml:space="preserve">Leadership: 98.5% | IPAC: 100%</w:t>
      </w:r>
    </w:p>
    <w:p>
      <w:pPr>
        <w:pStyle w:val="ListParagraph"/>
        <w:numPr>
          <w:ilvl w:val="0"/>
          <w:numId w:val="2"/>
        </w:numPr>
        <w:spacing w:after="60"/>
      </w:pPr>
      <w:r>
        <w:rPr>
          <w:rFonts w:ascii="Calibri" w:cs="Calibri" w:eastAsia="Calibri" w:hAnsi="Calibri"/>
          <w:color w:val="2C3E50"/>
          <w:sz w:val="20"/>
          <w:szCs w:val="20"/>
        </w:rPr>
        <w:t xml:space="preserve">Split IPAC model — frame as embedded clinical leadership, not a gap.</w:t>
      </w:r>
    </w:p>
    <w:p>
      <w:pPr>
        <w:pStyle w:val="ListParagraph"/>
        <w:numPr>
          <w:ilvl w:val="0"/>
          <w:numId w:val="2"/>
        </w:numPr>
        <w:spacing w:after="60"/>
      </w:pPr>
      <w:r>
        <w:rPr>
          <w:rFonts w:ascii="Calibri" w:cs="Calibri" w:eastAsia="Calibri" w:hAnsi="Calibri"/>
          <w:color w:val="2C3E50"/>
          <w:sz w:val="20"/>
          <w:szCs w:val="20"/>
        </w:rPr>
        <w:t xml:space="preserve">ROP: Hand hygiene compliance — know the NUMBER and the QI plan.</w:t>
      </w:r>
    </w:p>
    <w:p>
      <w:pPr>
        <w:pStyle w:val="ListParagraph"/>
        <w:numPr>
          <w:ilvl w:val="0"/>
          <w:numId w:val="2"/>
        </w:numPr>
        <w:spacing w:after="60"/>
      </w:pPr>
      <w:r>
        <w:rPr>
          <w:rFonts w:ascii="Calibri" w:cs="Calibri" w:eastAsia="Calibri" w:hAnsi="Calibri"/>
          <w:color w:val="2C3E50"/>
          <w:sz w:val="20"/>
          <w:szCs w:val="20"/>
        </w:rPr>
        <w:t xml:space="preserve">ROP: Patient safety incident management — full disclosure cycle.</w:t>
      </w:r>
    </w:p>
    <w:p>
      <w:pPr>
        <w:pStyle w:val="ListParagraph"/>
        <w:numPr>
          <w:ilvl w:val="0"/>
          <w:numId w:val="2"/>
        </w:numPr>
        <w:spacing w:after="60"/>
      </w:pPr>
      <w:r>
        <w:rPr>
          <w:rFonts w:ascii="Calibri" w:cs="Calibri" w:eastAsia="Calibri" w:hAnsi="Calibri"/>
          <w:color w:val="2C3E50"/>
          <w:sz w:val="20"/>
          <w:szCs w:val="20"/>
        </w:rPr>
        <w:t xml:space="preserve">ROP: Workplace violence prevention — know the policy, training, and named individual.</w:t>
      </w:r>
    </w:p>
    <w:p>
      <w:pPr>
        <w:pStyle w:val="ListParagraph"/>
        <w:numPr>
          <w:ilvl w:val="0"/>
          <w:numId w:val="2"/>
        </w:numPr>
        <w:spacing w:after="60"/>
      </w:pPr>
      <w:r>
        <w:rPr>
          <w:rFonts w:ascii="Calibri" w:cs="Calibri" w:eastAsia="Calibri" w:hAnsi="Calibri"/>
          <w:color w:val="2C3E50"/>
          <w:sz w:val="20"/>
          <w:szCs w:val="20"/>
        </w:rPr>
        <w:t xml:space="preserve">ROP: Falls prevention, pressure injury, suicide risk, medication reconciliation — all flow through your portfolio.</w:t>
      </w:r>
    </w:p>
    <w:p>
      <w:pPr>
        <w:pStyle w:val="ListParagraph"/>
        <w:numPr>
          <w:ilvl w:val="0"/>
          <w:numId w:val="2"/>
        </w:numPr>
        <w:spacing w:after="60"/>
      </w:pPr>
      <w:r>
        <w:rPr>
          <w:rFonts w:ascii="Calibri" w:cs="Calibri" w:eastAsia="Calibri" w:hAnsi="Calibri"/>
          <w:color w:val="2C3E50"/>
          <w:sz w:val="20"/>
          <w:szCs w:val="20"/>
        </w:rPr>
        <w:t xml:space="preserve">Antimicrobial stewardship: flagged as GAP — know the current state.</w:t>
      </w:r>
    </w:p>
    <w:p>
      <w:pPr>
        <w:pStyle w:val="Heading2"/>
      </w:pPr>
      <w:r>
        <w:rPr>
          <w:rFonts w:ascii="Calibri" w:cs="Calibri" w:eastAsia="Calibri" w:hAnsi="Calibri"/>
          <w:b/>
          <w:bCs/>
          <w:color w:val="1F4E79"/>
          <w:sz w:val="24"/>
          <w:szCs w:val="24"/>
        </w:rPr>
        <w:t xml:space="preserve">THE RESTRUCTURING &amp; IPAC NARRATIVE</w:t>
      </w: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EAFAF1" w:val="clear"/>
            <w:tcMar>
              <w:top w:type="dxa" w:w="60"/>
              <w:left w:type="dxa" w:w="100"/>
              <w:bottom w:type="dxa" w:w="60"/>
              <w:right w:type="dxa" w:w="100"/>
            </w:tcMar>
          </w:tcPr>
          <w:p>
            <w:pPr>
              <w:spacing w:after="60"/>
            </w:pPr>
            <w:r>
              <w:rPr>
                <w:rFonts w:ascii="Calibri" w:cs="Calibri" w:eastAsia="Calibri" w:hAnsi="Calibri"/>
                <w:b/>
                <w:bCs/>
                <w:color w:val="2C3E50"/>
                <w:sz w:val="20"/>
                <w:szCs w:val="20"/>
              </w:rPr>
              <w:t xml:space="preserve">✅ Key Talking Points</w:t>
            </w:r>
          </w:p>
          <w:p>
            <w:pPr>
              <w:pStyle w:val="ListParagraph"/>
              <w:numPr>
                <w:ilvl w:val="0"/>
                <w:numId w:val="2"/>
              </w:numPr>
              <w:spacing w:after="40"/>
            </w:pPr>
            <w:r>
              <w:rPr>
                <w:rFonts w:ascii="Calibri" w:cs="Calibri" w:eastAsia="Calibri" w:hAnsi="Calibri"/>
                <w:color w:val="2C3E50"/>
                <w:sz w:val="18"/>
                <w:szCs w:val="18"/>
              </w:rPr>
              <w:t xml:space="preserve">"The split IPAC model reflects our organizational structure — Hospital IPAC and LTC IPAC each embedded within the clinical teams they support, coordinated through the IPAC Committee."</w:t>
            </w:r>
          </w:p>
          <w:p>
            <w:pPr>
              <w:pStyle w:val="ListParagraph"/>
              <w:numPr>
                <w:ilvl w:val="0"/>
                <w:numId w:val="2"/>
              </w:numPr>
              <w:spacing w:after="40"/>
            </w:pPr>
            <w:r>
              <w:rPr>
                <w:rFonts w:ascii="Calibri" w:cs="Calibri" w:eastAsia="Calibri" w:hAnsi="Calibri"/>
                <w:color w:val="2C3E50"/>
                <w:sz w:val="18"/>
                <w:szCs w:val="18"/>
              </w:rPr>
              <w:t xml:space="preserve">"As VP Clinical and CNE, I provide clinical oversight across both the hospital and LTC programs, ensuring IPAC priorities are integrated into quality planning."</w:t>
            </w:r>
          </w:p>
          <w:p>
            <w:pPr>
              <w:pStyle w:val="ListParagraph"/>
              <w:numPr>
                <w:ilvl w:val="0"/>
                <w:numId w:val="2"/>
              </w:numPr>
              <w:spacing w:after="40"/>
            </w:pPr>
            <w:r>
              <w:rPr>
                <w:rFonts w:ascii="Calibri" w:cs="Calibri" w:eastAsia="Calibri" w:hAnsi="Calibri"/>
                <w:color w:val="2C3E50"/>
                <w:sz w:val="18"/>
                <w:szCs w:val="18"/>
              </w:rPr>
              <w:t xml:space="preserve">"The restructuring has strengthened our ability to share clinical best practices across the system while maintaining site-level clinical accountability."</w:t>
            </w:r>
          </w:p>
        </w:tc>
      </w:tr>
    </w:tbl>
    <w:p>
      <w:pPr>
        <w:spacing w:after="40"/>
      </w:pP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FDEDEC" w:val="clear"/>
            <w:tcMar>
              <w:top w:type="dxa" w:w="60"/>
              <w:left w:type="dxa" w:w="100"/>
              <w:bottom w:type="dxa" w:w="60"/>
              <w:right w:type="dxa" w:w="100"/>
            </w:tcMar>
          </w:tcPr>
          <w:p>
            <w:pPr>
              <w:spacing w:after="60"/>
            </w:pPr>
            <w:r>
              <w:rPr>
                <w:rFonts w:ascii="Calibri" w:cs="Calibri" w:eastAsia="Calibri" w:hAnsi="Calibri"/>
                <w:b/>
                <w:bCs/>
                <w:color w:val="2C3E50"/>
                <w:sz w:val="20"/>
                <w:szCs w:val="20"/>
              </w:rPr>
              <w:t xml:space="preserve">⚠️ Avoid</w:t>
            </w:r>
          </w:p>
          <w:p>
            <w:pPr>
              <w:pStyle w:val="ListParagraph"/>
              <w:numPr>
                <w:ilvl w:val="0"/>
                <w:numId w:val="2"/>
              </w:numPr>
              <w:spacing w:after="40"/>
            </w:pPr>
            <w:r>
              <w:rPr>
                <w:rFonts w:ascii="Calibri" w:cs="Calibri" w:eastAsia="Calibri" w:hAnsi="Calibri"/>
                <w:color w:val="2C3E50"/>
                <w:sz w:val="18"/>
                <w:szCs w:val="18"/>
              </w:rPr>
              <w:t xml:space="preserve">Letting the split IPAC model look like a gap — frame it as a strength.</w:t>
            </w:r>
          </w:p>
          <w:p>
            <w:pPr>
              <w:pStyle w:val="ListParagraph"/>
              <w:numPr>
                <w:ilvl w:val="0"/>
                <w:numId w:val="2"/>
              </w:numPr>
              <w:spacing w:after="40"/>
            </w:pPr>
            <w:r>
              <w:rPr>
                <w:rFonts w:ascii="Calibri" w:cs="Calibri" w:eastAsia="Calibri" w:hAnsi="Calibri"/>
                <w:color w:val="2C3E50"/>
                <w:sz w:val="18"/>
                <w:szCs w:val="18"/>
              </w:rPr>
              <w:t xml:space="preserve">Being vague about hand hygiene rates. Have the number ready.</w:t>
            </w:r>
          </w:p>
          <w:p>
            <w:pPr>
              <w:pStyle w:val="ListParagraph"/>
              <w:numPr>
                <w:ilvl w:val="0"/>
                <w:numId w:val="2"/>
              </w:numPr>
              <w:spacing w:after="40"/>
            </w:pPr>
            <w:r>
              <w:rPr>
                <w:rFonts w:ascii="Calibri" w:cs="Calibri" w:eastAsia="Calibri" w:hAnsi="Calibri"/>
                <w:color w:val="2C3E50"/>
                <w:sz w:val="18"/>
                <w:szCs w:val="18"/>
              </w:rPr>
              <w:t xml:space="preserve">"We haven’t had any outbreaks recently" without checking — SJHCG had 51 outbreaks in 2022–2024.</w:t>
            </w:r>
          </w:p>
        </w:tc>
      </w:tr>
    </w:tbl>
    <w:p>
      <w:pPr>
        <w:pStyle w:val="Heading2"/>
      </w:pPr>
      <w:r>
        <w:rPr>
          <w:rFonts w:ascii="Calibri" w:cs="Calibri" w:eastAsia="Calibri" w:hAnsi="Calibri"/>
          <w:b/>
          <w:bCs/>
          <w:color w:val="1F4E79"/>
          <w:sz w:val="24"/>
          <w:szCs w:val="24"/>
        </w:rPr>
        <w:t xml:space="preserve">PREPARATION CHECKLIST</w:t>
      </w:r>
    </w:p>
    <w:p>
      <w:pPr>
        <w:pStyle w:val="ListParagraph"/>
        <w:numPr>
          <w:ilvl w:val="0"/>
          <w:numId w:val="3"/>
        </w:numPr>
        <w:spacing w:after="60"/>
      </w:pPr>
      <w:r>
        <w:rPr>
          <w:rFonts w:ascii="Calibri" w:cs="Calibri" w:eastAsia="Calibri" w:hAnsi="Calibri"/>
          <w:color w:val="2C3E50"/>
          <w:sz w:val="20"/>
          <w:szCs w:val="20"/>
        </w:rPr>
        <w:t xml:space="preserve">Resolve the IPAC/Planning schedule conflict with the Accreditation Project Lead.</w:t>
      </w:r>
    </w:p>
    <w:p>
      <w:pPr>
        <w:pStyle w:val="ListParagraph"/>
        <w:numPr>
          <w:ilvl w:val="0"/>
          <w:numId w:val="3"/>
        </w:numPr>
        <w:spacing w:after="60"/>
      </w:pPr>
      <w:r>
        <w:rPr>
          <w:rFonts w:ascii="Calibri" w:cs="Calibri" w:eastAsia="Calibri" w:hAnsi="Calibri"/>
          <w:color w:val="2C3E50"/>
          <w:sz w:val="20"/>
          <w:szCs w:val="20"/>
        </w:rPr>
        <w:t xml:space="preserve">Know hand hygiene compliance rate (number, trend, QI plan).</w:t>
      </w:r>
    </w:p>
    <w:p>
      <w:pPr>
        <w:pStyle w:val="ListParagraph"/>
        <w:numPr>
          <w:ilvl w:val="0"/>
          <w:numId w:val="3"/>
        </w:numPr>
        <w:spacing w:after="60"/>
      </w:pPr>
      <w:r>
        <w:rPr>
          <w:rFonts w:ascii="Calibri" w:cs="Calibri" w:eastAsia="Calibri" w:hAnsi="Calibri"/>
          <w:color w:val="2C3E50"/>
          <w:sz w:val="20"/>
          <w:szCs w:val="20"/>
        </w:rPr>
        <w:t xml:space="preserve">Prepare a recent outbreak narrative: timeline, response, lessons, changes.</w:t>
      </w:r>
    </w:p>
    <w:p>
      <w:pPr>
        <w:pStyle w:val="ListParagraph"/>
        <w:numPr>
          <w:ilvl w:val="0"/>
          <w:numId w:val="3"/>
        </w:numPr>
        <w:spacing w:after="60"/>
      </w:pPr>
      <w:r>
        <w:rPr>
          <w:rFonts w:ascii="Calibri" w:cs="Calibri" w:eastAsia="Calibri" w:hAnsi="Calibri"/>
          <w:color w:val="2C3E50"/>
          <w:sz w:val="20"/>
          <w:szCs w:val="20"/>
        </w:rPr>
        <w:t xml:space="preserve">Prepare a patient safety incident narrative (end-to-end).</w:t>
      </w:r>
    </w:p>
    <w:p>
      <w:pPr>
        <w:pStyle w:val="ListParagraph"/>
        <w:numPr>
          <w:ilvl w:val="0"/>
          <w:numId w:val="3"/>
        </w:numPr>
        <w:spacing w:after="60"/>
      </w:pPr>
      <w:r>
        <w:rPr>
          <w:rFonts w:ascii="Calibri" w:cs="Calibri" w:eastAsia="Calibri" w:hAnsi="Calibri"/>
          <w:color w:val="2C3E50"/>
          <w:sz w:val="20"/>
          <w:szCs w:val="20"/>
        </w:rPr>
        <w:t xml:space="preserve">Prepare a real ethics example with resolution.</w:t>
      </w:r>
    </w:p>
    <w:p>
      <w:pPr>
        <w:pStyle w:val="ListParagraph"/>
        <w:numPr>
          <w:ilvl w:val="0"/>
          <w:numId w:val="3"/>
        </w:numPr>
        <w:spacing w:after="60"/>
      </w:pPr>
      <w:r>
        <w:rPr>
          <w:rFonts w:ascii="Calibri" w:cs="Calibri" w:eastAsia="Calibri" w:hAnsi="Calibri"/>
          <w:color w:val="2C3E50"/>
          <w:sz w:val="20"/>
          <w:szCs w:val="20"/>
        </w:rPr>
        <w:t xml:space="preserve">Know the QIP priorities and how they link to “Unstoppable Compassion.”</w:t>
      </w:r>
    </w:p>
    <w:p>
      <w:pPr>
        <w:pStyle w:val="ListParagraph"/>
        <w:numPr>
          <w:ilvl w:val="0"/>
          <w:numId w:val="3"/>
        </w:numPr>
        <w:spacing w:after="60"/>
      </w:pPr>
      <w:r>
        <w:rPr>
          <w:rFonts w:ascii="Calibri" w:cs="Calibri" w:eastAsia="Calibri" w:hAnsi="Calibri"/>
          <w:color w:val="2C3E50"/>
          <w:sz w:val="20"/>
          <w:szCs w:val="20"/>
        </w:rPr>
        <w:t xml:space="preserve">Review emergency preparedness: drills, command structure, COVID lessons.</w:t>
      </w:r>
    </w:p>
    <w:p>
      <w:pPr>
        <w:pStyle w:val="ListParagraph"/>
        <w:numPr>
          <w:ilvl w:val="0"/>
          <w:numId w:val="3"/>
        </w:numPr>
        <w:spacing w:after="60"/>
      </w:pPr>
      <w:r>
        <w:rPr>
          <w:rFonts w:ascii="Calibri" w:cs="Calibri" w:eastAsia="Calibri" w:hAnsi="Calibri"/>
          <w:color w:val="2C3E50"/>
          <w:sz w:val="20"/>
          <w:szCs w:val="20"/>
        </w:rPr>
        <w:t xml:space="preserve">Know the split IPAC model narrative and frame it as a strength.</w:t>
      </w:r>
    </w:p>
    <w:p>
      <w:pPr>
        <w:pStyle w:val="ListParagraph"/>
        <w:numPr>
          <w:ilvl w:val="0"/>
          <w:numId w:val="3"/>
        </w:numPr>
        <w:spacing w:after="60"/>
      </w:pPr>
      <w:r>
        <w:rPr>
          <w:rFonts w:ascii="Calibri" w:cs="Calibri" w:eastAsia="Calibri" w:hAnsi="Calibri"/>
          <w:color w:val="2C3E50"/>
          <w:sz w:val="20"/>
          <w:szCs w:val="20"/>
        </w:rPr>
        <w:t xml:space="preserve">Review your tracer sessions: tracers.sjhcgsurvey.ca</w:t>
      </w:r>
    </w:p>
    <w:p>
      <w:pPr>
        <w:pStyle w:val="ListParagraph"/>
        <w:numPr>
          <w:ilvl w:val="0"/>
          <w:numId w:val="3"/>
        </w:numPr>
        <w:spacing w:after="60"/>
      </w:pPr>
      <w:r>
        <w:rPr>
          <w:rFonts w:ascii="Calibri" w:cs="Calibri" w:eastAsia="Calibri" w:hAnsi="Calibri"/>
          <w:color w:val="2C3E50"/>
          <w:sz w:val="20"/>
          <w:szCs w:val="20"/>
        </w:rPr>
        <w:t xml:space="preserve">Connect with the Accreditation Project Lead for a walkthrough.</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tracers.sjhcgsurvey.ca</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2026-03-16T16:23:43.062Z</dcterms:created>
  <dcterms:modified xsi:type="dcterms:W3CDTF">2026-03-16T16:23:43.062Z</dcterms:modified>
</cp:coreProperties>
</file>

<file path=docProps/custom.xml><?xml version="1.0" encoding="utf-8"?>
<Properties xmlns="http://schemas.openxmlformats.org/officeDocument/2006/custom-properties" xmlns:vt="http://schemas.openxmlformats.org/officeDocument/2006/docPropsVTypes"/>
</file>