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ACCREDITATION BRIEFING</w:t>
            </w:r>
          </w:p>
          <w:p>
            <w:pPr>
              <w:jc w:val="center"/>
            </w:pPr>
            <w:r>
              <w:rPr>
                <w:rFonts w:ascii="Calibri" w:cs="Calibri" w:eastAsia="Calibri" w:hAnsi="Calibri"/>
                <w:color w:val="C19A3E"/>
                <w:sz w:val="20"/>
                <w:szCs w:val="20"/>
              </w:rPr>
              <w:t xml:space="preserve">Project Lead, Strategy, Quality &amp; Client Experience | Survey: May 4–6, 2026</w:t>
            </w:r>
          </w:p>
        </w:tc>
      </w:tr>
    </w:tbl>
    <w:p>
      <w:pPr>
        <w:spacing w:after="40"/>
      </w:pPr>
    </w:p>
    <w:p>
      <w:pPr>
        <w:pStyle w:val="Heading2"/>
      </w:pPr>
      <w:r>
        <w:rPr>
          <w:rFonts w:ascii="Calibri" w:cs="Calibri" w:eastAsia="Calibri" w:hAnsi="Calibri"/>
          <w:b/>
          <w:bCs/>
          <w:color w:val="1F4E79"/>
          <w:sz w:val="24"/>
          <w:szCs w:val="24"/>
        </w:rPr>
        <w:t xml:space="preserve">CONTEXT: YOUR ROLE IN THE SURVEY</w:t>
      </w:r>
    </w:p>
    <w:p>
      <w:pPr>
        <w:spacing w:after="100"/>
      </w:pPr>
      <w:r>
        <w:rPr>
          <w:rFonts w:ascii="Calibri" w:cs="Calibri" w:eastAsia="Calibri" w:hAnsi="Calibri"/>
          <w:color w:val="2C3E50"/>
          <w:sz w:val="20"/>
          <w:szCs w:val="20"/>
        </w:rPr>
        <w:t xml:space="preserve">As Project Lead for Strategy, Quality &amp; Client Experience and the organization’s Accreditation Project Lead, you sit at the intersection of quality improvement methodology, organizational readiness, risk management, and strategic planning. Surveyors will seek you out to understand how the quality infrastructure works — how evidence is collected, how gaps are addressed, how staff are prepared, and how accreditation connects to continuous improvement.</w:t>
      </w:r>
    </w:p>
    <w:p>
      <w:pPr>
        <w:pStyle w:val="Heading2"/>
      </w:pPr>
      <w:r>
        <w:rPr>
          <w:rFonts w:ascii="Calibri" w:cs="Calibri" w:eastAsia="Calibri" w:hAnsi="Calibri"/>
          <w:b/>
          <w:bCs/>
          <w:color w:val="1F4E79"/>
          <w:sz w:val="24"/>
          <w:szCs w:val="24"/>
        </w:rPr>
        <w:t xml:space="preserve">GOVERNANCE MODEL — KNOW THIS COLD</w:t>
      </w:r>
    </w:p>
    <w:p>
      <w:pPr>
        <w:pStyle w:val="ListParagraph"/>
        <w:numPr>
          <w:ilvl w:val="0"/>
          <w:numId w:val="2"/>
        </w:numPr>
        <w:spacing w:after="60"/>
      </w:pPr>
      <w:r>
        <w:rPr>
          <w:rFonts w:ascii="Calibri" w:cs="Calibri" w:eastAsia="Calibri" w:hAnsi="Calibri"/>
          <w:color w:val="2C3E50"/>
          <w:sz w:val="20"/>
          <w:szCs w:val="20"/>
        </w:rPr>
        <w:t xml:space="preserve">SJHCG operates within SJHS under a bipartite governance model.</w:t>
      </w:r>
    </w:p>
    <w:p>
      <w:pPr>
        <w:pStyle w:val="ListParagraph"/>
        <w:numPr>
          <w:ilvl w:val="0"/>
          <w:numId w:val="2"/>
        </w:numPr>
        <w:spacing w:after="60"/>
      </w:pPr>
      <w:r>
        <w:rPr>
          <w:rFonts w:ascii="Calibri" w:cs="Calibri" w:eastAsia="Calibri" w:hAnsi="Calibri"/>
          <w:color w:val="2C3E50"/>
          <w:sz w:val="20"/>
          <w:szCs w:val="20"/>
        </w:rPr>
        <w:t xml:space="preserve">SJHS Board (Shawn Clifford, Chair) → system-wide strategic oversight.</w:t>
      </w:r>
    </w:p>
    <w:p>
      <w:pPr>
        <w:pStyle w:val="ListParagraph"/>
        <w:numPr>
          <w:ilvl w:val="0"/>
          <w:numId w:val="2"/>
        </w:numPr>
        <w:spacing w:after="60"/>
      </w:pPr>
      <w:r>
        <w:rPr>
          <w:rFonts w:ascii="Calibri" w:cs="Calibri" w:eastAsia="Calibri" w:hAnsi="Calibri"/>
          <w:color w:val="2C3E50"/>
          <w:sz w:val="20"/>
          <w:szCs w:val="20"/>
        </w:rPr>
        <w:t xml:space="preserve">SJHCG Local Board of Trustees (Sean Doherty, Chair) → site-level accountability.</w:t>
      </w:r>
    </w:p>
    <w:p>
      <w:pPr>
        <w:pStyle w:val="ListParagraph"/>
        <w:numPr>
          <w:ilvl w:val="0"/>
          <w:numId w:val="2"/>
        </w:numPr>
        <w:spacing w:after="60"/>
      </w:pPr>
      <w:r>
        <w:rPr>
          <w:rFonts w:ascii="Calibri" w:cs="Calibri" w:eastAsia="Calibri" w:hAnsi="Calibri"/>
          <w:color w:val="2C3E50"/>
          <w:sz w:val="20"/>
          <w:szCs w:val="20"/>
        </w:rPr>
        <w:t xml:space="preserve">Integrated President → reports to both boards.</w:t>
      </w:r>
    </w:p>
    <w:p>
      <w:pPr>
        <w:pStyle w:val="ListParagraph"/>
        <w:numPr>
          <w:ilvl w:val="0"/>
          <w:numId w:val="2"/>
        </w:numPr>
        <w:spacing w:after="60"/>
      </w:pPr>
      <w:r>
        <w:rPr>
          <w:rFonts w:ascii="Calibri" w:cs="Calibri" w:eastAsia="Calibri" w:hAnsi="Calibri"/>
          <w:color w:val="2C3E50"/>
          <w:sz w:val="20"/>
          <w:szCs w:val="20"/>
        </w:rPr>
        <w:t xml:space="preserve">Campus of Care: community → rehab (42 beds) → LTC (240 beds) → palliative (8 beds).</w:t>
      </w:r>
    </w:p>
    <w:p>
      <w:pPr>
        <w:pStyle w:val="Heading2"/>
      </w:pPr>
      <w:r>
        <w:rPr>
          <w:rFonts w:ascii="Calibri" w:cs="Calibri" w:eastAsia="Calibri" w:hAnsi="Calibri"/>
          <w:b/>
          <w:bCs/>
          <w:color w:val="1F4E79"/>
          <w:sz w:val="24"/>
          <w:szCs w:val="24"/>
        </w:rPr>
        <w:t xml:space="preserve">YOUR QUALITY PORTFOLIO</w:t>
      </w:r>
    </w:p>
    <w:p>
      <w:pPr>
        <w:pStyle w:val="ListParagraph"/>
        <w:numPr>
          <w:ilvl w:val="0"/>
          <w:numId w:val="2"/>
        </w:numPr>
        <w:spacing w:after="60"/>
      </w:pPr>
      <w:r>
        <w:rPr>
          <w:rFonts w:ascii="Calibri" w:cs="Calibri" w:eastAsia="Calibri" w:hAnsi="Calibri"/>
          <w:color w:val="2C3E50"/>
          <w:sz w:val="20"/>
          <w:szCs w:val="20"/>
        </w:rPr>
        <w:t xml:space="preserve">Enterprise Evidence Binder: 939 criteria across 7 standards with real-time compliance tracking.</w:t>
      </w:r>
    </w:p>
    <w:p>
      <w:pPr>
        <w:pStyle w:val="ListParagraph"/>
        <w:numPr>
          <w:ilvl w:val="0"/>
          <w:numId w:val="2"/>
        </w:numPr>
        <w:spacing w:after="60"/>
      </w:pPr>
      <w:r>
        <w:rPr>
          <w:rFonts w:ascii="Calibri" w:cs="Calibri" w:eastAsia="Calibri" w:hAnsi="Calibri"/>
          <w:color w:val="2C3E50"/>
          <w:sz w:val="20"/>
          <w:szCs w:val="20"/>
        </w:rPr>
        <w:t xml:space="preserve">Master Dashboard: 97.7% overall compliance (up from 92.1%).</w:t>
      </w:r>
    </w:p>
    <w:p>
      <w:pPr>
        <w:pStyle w:val="ListParagraph"/>
        <w:numPr>
          <w:ilvl w:val="0"/>
          <w:numId w:val="2"/>
        </w:numPr>
        <w:spacing w:after="60"/>
      </w:pPr>
      <w:r>
        <w:rPr>
          <w:rFonts w:ascii="Calibri" w:cs="Calibri" w:eastAsia="Calibri" w:hAnsi="Calibri"/>
          <w:color w:val="2C3E50"/>
          <w:sz w:val="20"/>
          <w:szCs w:val="20"/>
        </w:rPr>
        <w:t xml:space="preserve">Question Bank: 1,900+ surveyor-style questions with policy-based answers.</w:t>
      </w:r>
    </w:p>
    <w:p>
      <w:pPr>
        <w:pStyle w:val="ListParagraph"/>
        <w:numPr>
          <w:ilvl w:val="0"/>
          <w:numId w:val="2"/>
        </w:numPr>
        <w:spacing w:after="60"/>
      </w:pPr>
      <w:r>
        <w:rPr>
          <w:rFonts w:ascii="Calibri" w:cs="Calibri" w:eastAsia="Calibri" w:hAnsi="Calibri"/>
          <w:color w:val="2C3E50"/>
          <w:sz w:val="20"/>
          <w:szCs w:val="20"/>
        </w:rPr>
        <w:t xml:space="preserve">AccrediReady campaign: puzzles, games, question bank, engagement analytics.</w:t>
      </w:r>
    </w:p>
    <w:p>
      <w:pPr>
        <w:pStyle w:val="ListParagraph"/>
        <w:numPr>
          <w:ilvl w:val="0"/>
          <w:numId w:val="2"/>
        </w:numPr>
        <w:spacing w:after="60"/>
      </w:pPr>
      <w:r>
        <w:rPr>
          <w:rFonts w:ascii="Calibri" w:cs="Calibri" w:eastAsia="Calibri" w:hAnsi="Calibri"/>
          <w:color w:val="2C3E50"/>
          <w:sz w:val="20"/>
          <w:szCs w:val="20"/>
        </w:rPr>
        <w:t xml:space="preserve">Mock tracer program: 22+ tracers across all survey sessions.</w:t>
      </w:r>
    </w:p>
    <w:p>
      <w:pPr>
        <w:pStyle w:val="ListParagraph"/>
        <w:numPr>
          <w:ilvl w:val="0"/>
          <w:numId w:val="2"/>
        </w:numPr>
        <w:spacing w:after="60"/>
      </w:pPr>
      <w:r>
        <w:rPr>
          <w:rFonts w:ascii="Calibri" w:cs="Calibri" w:eastAsia="Calibri" w:hAnsi="Calibri"/>
          <w:color w:val="2C3E50"/>
          <w:sz w:val="20"/>
          <w:szCs w:val="20"/>
        </w:rPr>
        <w:t xml:space="preserve">Gap closure coordination: 5 SME leads, cross-functional evidence overlap management.</w:t>
      </w:r>
    </w:p>
    <w:p>
      <w:pPr>
        <w:pStyle w:val="Heading2"/>
      </w:pPr>
      <w:r>
        <w:rPr>
          <w:rFonts w:ascii="Calibri" w:cs="Calibri" w:eastAsia="Calibri" w:hAnsi="Calibri"/>
          <w:b/>
          <w:bCs/>
          <w:color w:val="1F4E79"/>
          <w:sz w:val="24"/>
          <w:szCs w:val="24"/>
        </w:rPr>
        <w:t xml:space="preserve">WHAT SURVEYORS WILL ASK YOU</w:t>
      </w:r>
    </w:p>
    <w:p>
      <w:pPr>
        <w:pStyle w:val="ListParagraph"/>
        <w:numPr>
          <w:ilvl w:val="0"/>
          <w:numId w:val="2"/>
        </w:numPr>
        <w:spacing w:after="60"/>
      </w:pPr>
      <w:r>
        <w:rPr>
          <w:rFonts w:ascii="Calibri" w:cs="Calibri" w:eastAsia="Calibri" w:hAnsi="Calibri"/>
          <w:color w:val="2C3E50"/>
          <w:sz w:val="20"/>
          <w:szCs w:val="20"/>
        </w:rPr>
        <w:t xml:space="preserve">Tell me about the quality improvement infrastructure. How do you identify and track gaps?</w:t>
      </w:r>
    </w:p>
    <w:p>
      <w:pPr>
        <w:pStyle w:val="ListParagraph"/>
        <w:numPr>
          <w:ilvl w:val="0"/>
          <w:numId w:val="2"/>
        </w:numPr>
        <w:spacing w:after="60"/>
      </w:pPr>
      <w:r>
        <w:rPr>
          <w:rFonts w:ascii="Calibri" w:cs="Calibri" w:eastAsia="Calibri" w:hAnsi="Calibri"/>
          <w:color w:val="2C3E50"/>
          <w:sz w:val="20"/>
          <w:szCs w:val="20"/>
        </w:rPr>
        <w:t xml:space="preserve">How does accreditation preparation connect to continuous QI, not just a survey event?</w:t>
      </w:r>
    </w:p>
    <w:p>
      <w:pPr>
        <w:pStyle w:val="ListParagraph"/>
        <w:numPr>
          <w:ilvl w:val="0"/>
          <w:numId w:val="2"/>
        </w:numPr>
        <w:spacing w:after="60"/>
      </w:pPr>
      <w:r>
        <w:rPr>
          <w:rFonts w:ascii="Calibri" w:cs="Calibri" w:eastAsia="Calibri" w:hAnsi="Calibri"/>
          <w:color w:val="2C3E50"/>
          <w:sz w:val="20"/>
          <w:szCs w:val="20"/>
        </w:rPr>
        <w:t xml:space="preserve">What are the QIP priorities? How are they monitored?</w:t>
      </w:r>
    </w:p>
    <w:p>
      <w:pPr>
        <w:pStyle w:val="ListParagraph"/>
        <w:numPr>
          <w:ilvl w:val="0"/>
          <w:numId w:val="2"/>
        </w:numPr>
        <w:spacing w:after="60"/>
      </w:pPr>
      <w:r>
        <w:rPr>
          <w:rFonts w:ascii="Calibri" w:cs="Calibri" w:eastAsia="Calibri" w:hAnsi="Calibri"/>
          <w:color w:val="2C3E50"/>
          <w:sz w:val="20"/>
          <w:szCs w:val="20"/>
        </w:rPr>
        <w:t xml:space="preserve">How are staff engaged in quality improvement? What capacity building exists?</w:t>
      </w:r>
    </w:p>
    <w:p>
      <w:pPr>
        <w:pStyle w:val="ListParagraph"/>
        <w:numPr>
          <w:ilvl w:val="0"/>
          <w:numId w:val="2"/>
        </w:numPr>
        <w:spacing w:after="60"/>
      </w:pPr>
      <w:r>
        <w:rPr>
          <w:rFonts w:ascii="Calibri" w:cs="Calibri" w:eastAsia="Calibri" w:hAnsi="Calibri"/>
          <w:color w:val="2C3E50"/>
          <w:sz w:val="20"/>
          <w:szCs w:val="20"/>
        </w:rPr>
        <w:t xml:space="preserve">Walk me through a patient safety incident — the full cycle.</w:t>
      </w:r>
    </w:p>
    <w:p>
      <w:pPr>
        <w:pStyle w:val="ListParagraph"/>
        <w:numPr>
          <w:ilvl w:val="0"/>
          <w:numId w:val="2"/>
        </w:numPr>
        <w:spacing w:after="60"/>
      </w:pPr>
      <w:r>
        <w:rPr>
          <w:rFonts w:ascii="Calibri" w:cs="Calibri" w:eastAsia="Calibri" w:hAnsi="Calibri"/>
          <w:color w:val="2C3E50"/>
          <w:sz w:val="20"/>
          <w:szCs w:val="20"/>
        </w:rPr>
        <w:t xml:space="preserve">How does the strategic plan drive quality priorities?</w:t>
      </w:r>
    </w:p>
    <w:p>
      <w:pPr>
        <w:pStyle w:val="Heading2"/>
      </w:pPr>
      <w:r>
        <w:rPr>
          <w:rFonts w:ascii="Calibri" w:cs="Calibri" w:eastAsia="Calibri" w:hAnsi="Calibri"/>
          <w:b/>
          <w:bCs/>
          <w:color w:val="1F4E79"/>
          <w:sz w:val="24"/>
          <w:szCs w:val="24"/>
        </w:rPr>
        <w:t xml:space="preserve">KEY COMPLIANCE DATA</w:t>
      </w:r>
    </w:p>
    <w:p>
      <w:pPr>
        <w:spacing w:after="100"/>
      </w:pPr>
      <w:r>
        <w:rPr>
          <w:rFonts w:ascii="Calibri" w:cs="Calibri" w:eastAsia="Calibri" w:hAnsi="Calibri"/>
          <w:b/>
          <w:bCs/>
          <w:color w:val="2C3E50"/>
          <w:sz w:val="20"/>
          <w:szCs w:val="20"/>
        </w:rPr>
        <w:t xml:space="preserve">Overall: 97.7% | Leadership: 98.5% | Governance: 98.9%</w:t>
      </w:r>
    </w:p>
    <w:p>
      <w:pPr>
        <w:pStyle w:val="ListParagraph"/>
        <w:numPr>
          <w:ilvl w:val="0"/>
          <w:numId w:val="2"/>
        </w:numPr>
        <w:spacing w:after="60"/>
      </w:pPr>
      <w:r>
        <w:rPr>
          <w:rFonts w:ascii="Calibri" w:cs="Calibri" w:eastAsia="Calibri" w:hAnsi="Calibri"/>
          <w:color w:val="2C3E50"/>
          <w:sz w:val="20"/>
          <w:szCs w:val="20"/>
        </w:rPr>
        <w:t xml:space="preserve">Total gaps: 21 | Total action items: 99</w:t>
      </w:r>
    </w:p>
    <w:p>
      <w:pPr>
        <w:pStyle w:val="ListParagraph"/>
        <w:numPr>
          <w:ilvl w:val="0"/>
          <w:numId w:val="2"/>
        </w:numPr>
        <w:spacing w:after="60"/>
      </w:pPr>
      <w:r>
        <w:rPr>
          <w:rFonts w:ascii="Calibri" w:cs="Calibri" w:eastAsia="Calibri" w:hAnsi="Calibri"/>
          <w:color w:val="2C3E50"/>
          <w:sz w:val="20"/>
          <w:szCs w:val="20"/>
        </w:rPr>
        <w:t xml:space="preserve">2022: Exemplary Standing — 100% ROPs, 98.7% criteria.</w:t>
      </w:r>
    </w:p>
    <w:p>
      <w:pPr>
        <w:pStyle w:val="Heading2"/>
      </w:pPr>
      <w:r>
        <w:rPr>
          <w:rFonts w:ascii="Calibri" w:cs="Calibri" w:eastAsia="Calibri" w:hAnsi="Calibri"/>
          <w:b/>
          <w:bCs/>
          <w:color w:val="1F4E79"/>
          <w:sz w:val="24"/>
          <w:szCs w:val="24"/>
        </w:rPr>
        <w:t xml:space="preserve">PREPARATION CHECKLIST</w:t>
      </w:r>
    </w:p>
    <w:p>
      <w:pPr>
        <w:pStyle w:val="ListParagraph"/>
        <w:numPr>
          <w:ilvl w:val="0"/>
          <w:numId w:val="3"/>
        </w:numPr>
        <w:spacing w:after="60"/>
      </w:pPr>
      <w:r>
        <w:rPr>
          <w:rFonts w:ascii="Calibri" w:cs="Calibri" w:eastAsia="Calibri" w:hAnsi="Calibri"/>
          <w:color w:val="2C3E50"/>
          <w:sz w:val="20"/>
          <w:szCs w:val="20"/>
        </w:rPr>
        <w:t xml:space="preserve">Know the evidence binder system end-to-end — how criteria are mapped, tracked, and closed.</w:t>
      </w:r>
    </w:p>
    <w:p>
      <w:pPr>
        <w:pStyle w:val="ListParagraph"/>
        <w:numPr>
          <w:ilvl w:val="0"/>
          <w:numId w:val="3"/>
        </w:numPr>
        <w:spacing w:after="60"/>
      </w:pPr>
      <w:r>
        <w:rPr>
          <w:rFonts w:ascii="Calibri" w:cs="Calibri" w:eastAsia="Calibri" w:hAnsi="Calibri"/>
          <w:color w:val="2C3E50"/>
          <w:sz w:val="20"/>
          <w:szCs w:val="20"/>
        </w:rPr>
        <w:t xml:space="preserve">Know compliance trajectory with specific numbers.</w:t>
      </w:r>
    </w:p>
    <w:p>
      <w:pPr>
        <w:pStyle w:val="ListParagraph"/>
        <w:numPr>
          <w:ilvl w:val="0"/>
          <w:numId w:val="3"/>
        </w:numPr>
        <w:spacing w:after="60"/>
      </w:pPr>
      <w:r>
        <w:rPr>
          <w:rFonts w:ascii="Calibri" w:cs="Calibri" w:eastAsia="Calibri" w:hAnsi="Calibri"/>
          <w:color w:val="2C3E50"/>
          <w:sz w:val="20"/>
          <w:szCs w:val="20"/>
        </w:rPr>
        <w:t xml:space="preserve">Prepare the “accreditation as QI” narrative — infrastructure that persists beyond the survey.</w:t>
      </w:r>
    </w:p>
    <w:p>
      <w:pPr>
        <w:pStyle w:val="ListParagraph"/>
        <w:numPr>
          <w:ilvl w:val="0"/>
          <w:numId w:val="3"/>
        </w:numPr>
        <w:spacing w:after="60"/>
      </w:pPr>
      <w:r>
        <w:rPr>
          <w:rFonts w:ascii="Calibri" w:cs="Calibri" w:eastAsia="Calibri" w:hAnsi="Calibri"/>
          <w:color w:val="2C3E50"/>
          <w:sz w:val="20"/>
          <w:szCs w:val="20"/>
        </w:rPr>
        <w:t xml:space="preserve">Know all 3 surveyor backgrounds and session assignments.</w:t>
      </w:r>
    </w:p>
    <w:p>
      <w:pPr>
        <w:pStyle w:val="ListParagraph"/>
        <w:numPr>
          <w:ilvl w:val="0"/>
          <w:numId w:val="3"/>
        </w:numPr>
        <w:spacing w:after="60"/>
      </w:pPr>
      <w:r>
        <w:rPr>
          <w:rFonts w:ascii="Calibri" w:cs="Calibri" w:eastAsia="Calibri" w:hAnsi="Calibri"/>
          <w:color w:val="2C3E50"/>
          <w:sz w:val="20"/>
          <w:szCs w:val="20"/>
        </w:rPr>
        <w:t xml:space="preserve">Prepare for daily reviews: rapid-response plan for each standard area.</w:t>
      </w:r>
    </w:p>
    <w:p>
      <w:pPr>
        <w:pStyle w:val="ListParagraph"/>
        <w:numPr>
          <w:ilvl w:val="0"/>
          <w:numId w:val="3"/>
        </w:numPr>
        <w:spacing w:after="60"/>
      </w:pPr>
      <w:r>
        <w:rPr>
          <w:rFonts w:ascii="Calibri" w:cs="Calibri" w:eastAsia="Calibri" w:hAnsi="Calibri"/>
          <w:color w:val="2C3E50"/>
          <w:sz w:val="20"/>
          <w:szCs w:val="20"/>
        </w:rPr>
        <w:t xml:space="preserve">Know the gap closure status for every standard.</w:t>
      </w:r>
    </w:p>
    <w:p>
      <w:pPr>
        <w:pStyle w:val="ListParagraph"/>
        <w:numPr>
          <w:ilvl w:val="0"/>
          <w:numId w:val="3"/>
        </w:numPr>
        <w:spacing w:after="60"/>
      </w:pPr>
      <w:r>
        <w:rPr>
          <w:rFonts w:ascii="Calibri" w:cs="Calibri" w:eastAsia="Calibri" w:hAnsi="Calibri"/>
          <w:color w:val="2C3E50"/>
          <w:sz w:val="20"/>
          <w:szCs w:val="20"/>
        </w:rPr>
        <w:t xml:space="preserve">Review your tracer sessions: tracers.sjhcgsurvey.ca</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tracers.sjhcgsurvey.ca</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2026-03-16T16:23:43.374Z</dcterms:created>
  <dcterms:modified xsi:type="dcterms:W3CDTF">2026-03-16T16:23:43.374Z</dcterms:modified>
</cp:coreProperties>
</file>

<file path=docProps/custom.xml><?xml version="1.0" encoding="utf-8"?>
<Properties xmlns="http://schemas.openxmlformats.org/officeDocument/2006/custom-properties" xmlns:vt="http://schemas.openxmlformats.org/officeDocument/2006/docPropsVTypes"/>
</file>