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ACCREDITATION BRIEFING</w:t>
            </w:r>
          </w:p>
          <w:p>
            <w:pPr>
              <w:jc w:val="center"/>
            </w:pPr>
            <w:r>
              <w:rPr>
                <w:rFonts w:ascii="Calibri" w:cs="Calibri" w:eastAsia="Calibri" w:hAnsi="Calibri"/>
                <w:color w:val="C19A3E"/>
                <w:sz w:val="20"/>
                <w:szCs w:val="20"/>
              </w:rPr>
              <w:t xml:space="preserve">Director, Strategy &amp; Client Experience | Accreditation Coordinator | Survey: May 4–6, 2026</w:t>
            </w:r>
          </w:p>
        </w:tc>
      </w:tr>
    </w:tbl>
    <w:p>
      <w:pPr>
        <w:spacing w:after="40"/>
      </w:pPr>
    </w:p>
    <w:p>
      <w:pPr>
        <w:pStyle w:val="Heading2"/>
      </w:pPr>
      <w:r>
        <w:rPr>
          <w:rFonts w:ascii="Calibri" w:cs="Calibri" w:eastAsia="Calibri" w:hAnsi="Calibri"/>
          <w:b/>
          <w:bCs/>
          <w:color w:val="1F4E79"/>
          <w:sz w:val="24"/>
          <w:szCs w:val="24"/>
        </w:rPr>
        <w:t xml:space="preserve">CONTEXT: YOUR ROLE IN THE MAY 4–6 SURVEY</w:t>
      </w:r>
    </w:p>
    <w:p>
      <w:pPr>
        <w:spacing w:after="100"/>
      </w:pPr>
      <w:r>
        <w:rPr>
          <w:rFonts w:ascii="Calibri" w:cs="Calibri" w:eastAsia="Calibri" w:hAnsi="Calibri"/>
          <w:color w:val="2C3E50"/>
          <w:sz w:val="20"/>
          <w:szCs w:val="20"/>
        </w:rPr>
        <w:t xml:space="preserve">As Director of Strategy &amp; Client Experience and the organization’s named Accreditation Coordinator, you are one of the most visible leaders during the survey. You are listed as the primary ACC contact on the survey schedule. Surveyors will look to you for organizational strategy, client experience, quality infrastructure, and accreditation coordination.</w:t>
      </w:r>
    </w:p>
    <w:p>
      <w:pPr>
        <w:pStyle w:val="Heading2"/>
      </w:pPr>
      <w:r>
        <w:rPr>
          <w:rFonts w:ascii="Calibri" w:cs="Calibri" w:eastAsia="Calibri" w:hAnsi="Calibri"/>
          <w:b/>
          <w:bCs/>
          <w:color w:val="1F4E79"/>
          <w:sz w:val="24"/>
          <w:szCs w:val="24"/>
        </w:rPr>
        <w:t xml:space="preserve">YOUR SURVEY SCHEDULE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2000"/>
        <w:gridCol w:w="5512"/>
        <w:gridCol w:w="3000"/>
      </w:tblGrid>
      <w:tr>
        <w:tc>
          <w:tcPr>
            <w:tcW w:type="dxa" w:w="2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Time</w:t>
            </w:r>
          </w:p>
        </w:tc>
        <w:tc>
          <w:tcPr>
            <w:tcW w:type="dxa" w:w="55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Session</w:t>
            </w:r>
          </w:p>
        </w:tc>
        <w:tc>
          <w:tcPr>
            <w:tcW w:type="dxa" w:w="3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Surveyor</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0800–0830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Organization Introductory Meeting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0830–0930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1100–1200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Planning &amp; Service Design</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1300–1430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Integrated Quality Management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1530–1630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Governance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1645–1700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Daily Review with Surveyors</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0800–0930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Human Capital</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1030–1130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Community Partners Focus Group (virtual)</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1500–1515</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Daily Review with Surveyors</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Wed 1000–1130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 General Debriefing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bl>
    <w:p>
      <w:pPr>
        <w:spacing w:after="40"/>
      </w:pPr>
    </w:p>
    <w:p>
      <w:pPr>
        <w:spacing w:after="100"/>
      </w:pPr>
      <w:r>
        <w:rPr>
          <w:rFonts w:ascii="Calibri" w:cs="Calibri" w:eastAsia="Calibri" w:hAnsi="Calibri"/>
          <w:b/>
          <w:bCs/>
          <w:color w:val="2C3E50"/>
          <w:sz w:val="20"/>
          <w:szCs w:val="20"/>
        </w:rPr>
        <w:t xml:space="preserve">🔍 SURVEYOR INTELLIGENCE: </w:t>
      </w:r>
      <w:r>
        <w:rPr>
          <w:rFonts w:ascii="Calibri" w:cs="Calibri" w:eastAsia="Calibri" w:hAnsi="Calibri"/>
          <w:color w:val="2C3E50"/>
          <w:sz w:val="20"/>
          <w:szCs w:val="20"/>
        </w:rPr>
        <w:t xml:space="preserve">Karen Biggs: Deep governance and strategic planning expertise. She probes whether strategic plans drive operational decisions or just sit in binders. In the daily reviews, she flags areas for follow-up.</w:t>
      </w:r>
    </w:p>
    <w:p>
      <w:pPr>
        <w:pStyle w:val="Heading2"/>
      </w:pPr>
      <w:r>
        <w:rPr>
          <w:rFonts w:ascii="Calibri" w:cs="Calibri" w:eastAsia="Calibri" w:hAnsi="Calibri"/>
          <w:b/>
          <w:bCs/>
          <w:color w:val="1F4E79"/>
          <w:sz w:val="24"/>
          <w:szCs w:val="24"/>
        </w:rPr>
        <w:t xml:space="preserve">YOUR DUAL ROLE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E8F0FE"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Accreditation Coordinator</w:t>
            </w:r>
          </w:p>
          <w:p>
            <w:pPr>
              <w:pStyle w:val="ListParagraph"/>
              <w:numPr>
                <w:ilvl w:val="0"/>
                <w:numId w:val="2"/>
              </w:numPr>
              <w:spacing w:after="40"/>
            </w:pPr>
            <w:r>
              <w:rPr>
                <w:rFonts w:ascii="Calibri" w:cs="Calibri" w:eastAsia="Calibri" w:hAnsi="Calibri"/>
                <w:color w:val="2C3E50"/>
                <w:sz w:val="18"/>
                <w:szCs w:val="18"/>
              </w:rPr>
              <w:t xml:space="preserve">Organizational orientation for surveyors (Org Intro — 10–15 min overview).</w:t>
            </w:r>
          </w:p>
          <w:p>
            <w:pPr>
              <w:pStyle w:val="ListParagraph"/>
              <w:numPr>
                <w:ilvl w:val="0"/>
                <w:numId w:val="2"/>
              </w:numPr>
              <w:spacing w:after="40"/>
            </w:pPr>
            <w:r>
              <w:rPr>
                <w:rFonts w:ascii="Calibri" w:cs="Calibri" w:eastAsia="Calibri" w:hAnsi="Calibri"/>
                <w:color w:val="2C3E50"/>
                <w:sz w:val="18"/>
                <w:szCs w:val="18"/>
              </w:rPr>
              <w:t xml:space="preserve">Daily review meetings (Mon 1645, Tue 1500) — receive feedback, flag issues, coordinate rapid responses.</w:t>
            </w:r>
          </w:p>
          <w:p>
            <w:pPr>
              <w:pStyle w:val="ListParagraph"/>
              <w:numPr>
                <w:ilvl w:val="0"/>
                <w:numId w:val="2"/>
              </w:numPr>
              <w:spacing w:after="40"/>
            </w:pPr>
            <w:r>
              <w:rPr>
                <w:rFonts w:ascii="Calibri" w:cs="Calibri" w:eastAsia="Calibri" w:hAnsi="Calibri"/>
                <w:color w:val="2C3E50"/>
                <w:sz w:val="18"/>
                <w:szCs w:val="18"/>
              </w:rPr>
              <w:t xml:space="preserve">Logistics: room bookings, staff availability, document access, schedule adjustments.</w:t>
            </w:r>
          </w:p>
          <w:p>
            <w:pPr>
              <w:pStyle w:val="ListParagraph"/>
              <w:numPr>
                <w:ilvl w:val="0"/>
                <w:numId w:val="2"/>
              </w:numPr>
              <w:spacing w:after="40"/>
            </w:pPr>
            <w:r>
              <w:rPr>
                <w:rFonts w:ascii="Calibri" w:cs="Calibri" w:eastAsia="Calibri" w:hAnsi="Calibri"/>
                <w:color w:val="2C3E50"/>
                <w:sz w:val="18"/>
                <w:szCs w:val="18"/>
              </w:rPr>
              <w:t xml:space="preserve">Closing debriefings (Wed) — preliminary findings.</w:t>
            </w:r>
          </w:p>
        </w:tc>
      </w:tr>
    </w:tbl>
    <w:p>
      <w:pPr>
        <w:spacing w:after="40"/>
      </w:pP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EAFAF1"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Director, Strategy &amp; Client Experience</w:t>
            </w:r>
          </w:p>
          <w:p>
            <w:pPr>
              <w:pStyle w:val="ListParagraph"/>
              <w:numPr>
                <w:ilvl w:val="0"/>
                <w:numId w:val="2"/>
              </w:numPr>
              <w:spacing w:after="40"/>
            </w:pPr>
            <w:r>
              <w:rPr>
                <w:rFonts w:ascii="Calibri" w:cs="Calibri" w:eastAsia="Calibri" w:hAnsi="Calibri"/>
                <w:color w:val="2C3E50"/>
                <w:sz w:val="18"/>
                <w:szCs w:val="18"/>
              </w:rPr>
              <w:t xml:space="preserve">Strategic planning: how “Unstoppable Compassion” translates to operational priorities.</w:t>
            </w:r>
          </w:p>
          <w:p>
            <w:pPr>
              <w:pStyle w:val="ListParagraph"/>
              <w:numPr>
                <w:ilvl w:val="0"/>
                <w:numId w:val="2"/>
              </w:numPr>
              <w:spacing w:after="40"/>
            </w:pPr>
            <w:r>
              <w:rPr>
                <w:rFonts w:ascii="Calibri" w:cs="Calibri" w:eastAsia="Calibri" w:hAnsi="Calibri"/>
                <w:color w:val="2C3E50"/>
                <w:sz w:val="18"/>
                <w:szCs w:val="18"/>
              </w:rPr>
              <w:t xml:space="preserve">Client experience: feedback collection, analysis, action, and communication back.</w:t>
            </w:r>
          </w:p>
          <w:p>
            <w:pPr>
              <w:pStyle w:val="ListParagraph"/>
              <w:numPr>
                <w:ilvl w:val="0"/>
                <w:numId w:val="2"/>
              </w:numPr>
              <w:spacing w:after="40"/>
            </w:pPr>
            <w:r>
              <w:rPr>
                <w:rFonts w:ascii="Calibri" w:cs="Calibri" w:eastAsia="Calibri" w:hAnsi="Calibri"/>
                <w:color w:val="2C3E50"/>
                <w:sz w:val="18"/>
                <w:szCs w:val="18"/>
              </w:rPr>
              <w:t xml:space="preserve">Quality oversight: evidence binder, dashboards, gap tracking infrastructure.</w:t>
            </w:r>
          </w:p>
          <w:p>
            <w:pPr>
              <w:pStyle w:val="ListParagraph"/>
              <w:numPr>
                <w:ilvl w:val="0"/>
                <w:numId w:val="2"/>
              </w:numPr>
              <w:spacing w:after="40"/>
            </w:pPr>
            <w:r>
              <w:rPr>
                <w:rFonts w:ascii="Calibri" w:cs="Calibri" w:eastAsia="Calibri" w:hAnsi="Calibri"/>
                <w:color w:val="2C3E50"/>
                <w:sz w:val="18"/>
                <w:szCs w:val="18"/>
              </w:rPr>
              <w:t xml:space="preserve">Community engagement: community needs informing service planning.</w:t>
            </w:r>
          </w:p>
        </w:tc>
      </w:tr>
    </w:tbl>
    <w:p>
      <w:pPr>
        <w:pStyle w:val="Heading2"/>
      </w:pPr>
      <w:r>
        <w:rPr>
          <w:rFonts w:ascii="Calibri" w:cs="Calibri" w:eastAsia="Calibri" w:hAnsi="Calibri"/>
          <w:b/>
          <w:bCs/>
          <w:color w:val="1F4E79"/>
          <w:sz w:val="24"/>
          <w:szCs w:val="24"/>
        </w:rPr>
        <w:t xml:space="preserve">WHAT SURVEYORS WILL ASK YOU</w:t>
      </w:r>
    </w:p>
    <w:p>
      <w:pPr>
        <w:pStyle w:val="ListParagraph"/>
        <w:numPr>
          <w:ilvl w:val="0"/>
          <w:numId w:val="2"/>
        </w:numPr>
        <w:spacing w:after="60"/>
      </w:pPr>
      <w:r>
        <w:rPr>
          <w:rFonts w:ascii="Calibri" w:cs="Calibri" w:eastAsia="Calibri" w:hAnsi="Calibri"/>
          <w:color w:val="2C3E50"/>
          <w:sz w:val="20"/>
          <w:szCs w:val="20"/>
        </w:rPr>
        <w:t xml:space="preserve">How does the strategic plan drive day-to-day operational decisions? Specific example.</w:t>
      </w:r>
    </w:p>
    <w:p>
      <w:pPr>
        <w:pStyle w:val="ListParagraph"/>
        <w:numPr>
          <w:ilvl w:val="0"/>
          <w:numId w:val="2"/>
        </w:numPr>
        <w:spacing w:after="60"/>
      </w:pPr>
      <w:r>
        <w:rPr>
          <w:rFonts w:ascii="Calibri" w:cs="Calibri" w:eastAsia="Calibri" w:hAnsi="Calibri"/>
          <w:color w:val="2C3E50"/>
          <w:sz w:val="20"/>
          <w:szCs w:val="20"/>
        </w:rPr>
        <w:t xml:space="preserve">How is client/resident/family feedback collected and used? What changed?</w:t>
      </w:r>
    </w:p>
    <w:p>
      <w:pPr>
        <w:pStyle w:val="ListParagraph"/>
        <w:numPr>
          <w:ilvl w:val="0"/>
          <w:numId w:val="2"/>
        </w:numPr>
        <w:spacing w:after="60"/>
      </w:pPr>
      <w:r>
        <w:rPr>
          <w:rFonts w:ascii="Calibri" w:cs="Calibri" w:eastAsia="Calibri" w:hAnsi="Calibri"/>
          <w:color w:val="2C3E50"/>
          <w:sz w:val="20"/>
          <w:szCs w:val="20"/>
        </w:rPr>
        <w:t xml:space="preserve">Describe the quality improvement infrastructure. How do you identify and track gaps?</w:t>
      </w:r>
    </w:p>
    <w:p>
      <w:pPr>
        <w:pStyle w:val="ListParagraph"/>
        <w:numPr>
          <w:ilvl w:val="0"/>
          <w:numId w:val="2"/>
        </w:numPr>
        <w:spacing w:after="60"/>
      </w:pPr>
      <w:r>
        <w:rPr>
          <w:rFonts w:ascii="Calibri" w:cs="Calibri" w:eastAsia="Calibri" w:hAnsi="Calibri"/>
          <w:color w:val="2C3E50"/>
          <w:sz w:val="20"/>
          <w:szCs w:val="20"/>
        </w:rPr>
        <w:t xml:space="preserve">How is accreditation preparation integrated into continuous QI?</w:t>
      </w:r>
    </w:p>
    <w:p>
      <w:pPr>
        <w:pStyle w:val="ListParagraph"/>
        <w:numPr>
          <w:ilvl w:val="0"/>
          <w:numId w:val="2"/>
        </w:numPr>
        <w:spacing w:after="60"/>
      </w:pPr>
      <w:r>
        <w:rPr>
          <w:rFonts w:ascii="Calibri" w:cs="Calibri" w:eastAsia="Calibri" w:hAnsi="Calibri"/>
          <w:color w:val="2C3E50"/>
          <w:sz w:val="20"/>
          <w:szCs w:val="20"/>
        </w:rPr>
        <w:t xml:space="preserve">What are the QIP priorities? How are they monitored?</w:t>
      </w:r>
    </w:p>
    <w:p>
      <w:pPr>
        <w:pStyle w:val="ListParagraph"/>
        <w:numPr>
          <w:ilvl w:val="0"/>
          <w:numId w:val="2"/>
        </w:numPr>
        <w:spacing w:after="60"/>
      </w:pPr>
      <w:r>
        <w:rPr>
          <w:rFonts w:ascii="Calibri" w:cs="Calibri" w:eastAsia="Calibri" w:hAnsi="Calibri"/>
          <w:color w:val="2C3E50"/>
          <w:sz w:val="20"/>
          <w:szCs w:val="20"/>
        </w:rPr>
        <w:t xml:space="preserve">How does SJHCG engage community partners in planning and quality?</w:t>
      </w:r>
    </w:p>
    <w:p>
      <w:pPr>
        <w:pStyle w:val="Heading2"/>
      </w:pPr>
      <w:r>
        <w:rPr>
          <w:rFonts w:ascii="Calibri" w:cs="Calibri" w:eastAsia="Calibri" w:hAnsi="Calibri"/>
          <w:b/>
          <w:bCs/>
          <w:color w:val="1F4E79"/>
          <w:sz w:val="24"/>
          <w:szCs w:val="24"/>
        </w:rPr>
        <w:t xml:space="preserve">THE ORG INTRODUCTORY MEETING</w:t>
      </w:r>
    </w:p>
    <w:p>
      <w:pPr>
        <w:spacing w:after="100"/>
      </w:pPr>
      <w:r>
        <w:rPr>
          <w:rFonts w:ascii="Calibri" w:cs="Calibri" w:eastAsia="Calibri" w:hAnsi="Calibri"/>
          <w:color w:val="2C3E50"/>
          <w:sz w:val="20"/>
          <w:szCs w:val="20"/>
        </w:rPr>
        <w:t xml:space="preserve">You and the Integrated President deliver a 10–15 minute overview to all three surveyors Monday at 0800. Cover:</w:t>
      </w:r>
    </w:p>
    <w:p>
      <w:pPr>
        <w:pStyle w:val="ListParagraph"/>
        <w:numPr>
          <w:ilvl w:val="0"/>
          <w:numId w:val="2"/>
        </w:numPr>
        <w:spacing w:after="60"/>
      </w:pPr>
      <w:r>
        <w:rPr>
          <w:rFonts w:ascii="Calibri" w:cs="Calibri" w:eastAsia="Calibri" w:hAnsi="Calibri"/>
          <w:color w:val="2C3E50"/>
          <w:sz w:val="20"/>
          <w:szCs w:val="20"/>
        </w:rPr>
        <w:t xml:space="preserve">Scope: 346 beds, 3 sites, Campus of Care, LTC + Rehab + CMC + Palliative + Community.</w:t>
      </w:r>
    </w:p>
    <w:p>
      <w:pPr>
        <w:pStyle w:val="ListParagraph"/>
        <w:numPr>
          <w:ilvl w:val="0"/>
          <w:numId w:val="2"/>
        </w:numPr>
        <w:spacing w:after="60"/>
      </w:pPr>
      <w:r>
        <w:rPr>
          <w:rFonts w:ascii="Calibri" w:cs="Calibri" w:eastAsia="Calibri" w:hAnsi="Calibri"/>
          <w:color w:val="2C3E50"/>
          <w:sz w:val="20"/>
          <w:szCs w:val="20"/>
        </w:rPr>
        <w:t xml:space="preserve">Bipartite governance: SJHS Board → Local Board → Integrated President.</w:t>
      </w:r>
    </w:p>
    <w:p>
      <w:pPr>
        <w:pStyle w:val="ListParagraph"/>
        <w:numPr>
          <w:ilvl w:val="0"/>
          <w:numId w:val="2"/>
        </w:numPr>
        <w:spacing w:after="60"/>
      </w:pPr>
      <w:r>
        <w:rPr>
          <w:rFonts w:ascii="Calibri" w:cs="Calibri" w:eastAsia="Calibri" w:hAnsi="Calibri"/>
          <w:color w:val="2C3E50"/>
          <w:sz w:val="20"/>
          <w:szCs w:val="20"/>
        </w:rPr>
        <w:t xml:space="preserve">“Unstoppable Compassion”: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Successes: Exemplary Standing 2022, compliance improvement to 97.7%.</w:t>
      </w:r>
    </w:p>
    <w:p>
      <w:pPr>
        <w:pStyle w:val="ListParagraph"/>
        <w:numPr>
          <w:ilvl w:val="0"/>
          <w:numId w:val="2"/>
        </w:numPr>
        <w:spacing w:after="60"/>
      </w:pPr>
      <w:r>
        <w:rPr>
          <w:rFonts w:ascii="Calibri" w:cs="Calibri" w:eastAsia="Calibri" w:hAnsi="Calibri"/>
          <w:color w:val="2C3E50"/>
          <w:sz w:val="20"/>
          <w:szCs w:val="20"/>
        </w:rPr>
        <w:t xml:space="preserve">Challenges: restructuring, workforce pressures. Frame honestly with quality lens.</w:t>
      </w:r>
    </w:p>
    <w:p>
      <w:pPr>
        <w:pStyle w:val="Heading2"/>
      </w:pPr>
      <w:r>
        <w:rPr>
          <w:rFonts w:ascii="Calibri" w:cs="Calibri" w:eastAsia="Calibri" w:hAnsi="Calibri"/>
          <w:b/>
          <w:bCs/>
          <w:color w:val="1F4E79"/>
          <w:sz w:val="24"/>
          <w:szCs w:val="24"/>
        </w:rPr>
        <w:t xml:space="preserve">KEY COMPLIANCE</w:t>
      </w:r>
    </w:p>
    <w:p>
      <w:pPr>
        <w:spacing w:after="100"/>
      </w:pPr>
      <w:r>
        <w:rPr>
          <w:rFonts w:ascii="Calibri" w:cs="Calibri" w:eastAsia="Calibri" w:hAnsi="Calibri"/>
          <w:b/>
          <w:bCs/>
          <w:color w:val="2C3E50"/>
          <w:sz w:val="20"/>
          <w:szCs w:val="20"/>
        </w:rPr>
        <w:t xml:space="preserve">Overall: 97.7% | Leadership: 98.5% | Governance: 98.9%</w:t>
      </w:r>
      <w:r>
        <w:rPr>
          <w:rFonts w:ascii="Calibri" w:cs="Calibri" w:eastAsia="Calibri" w:hAnsi="Calibri"/>
          <w:color w:val="2C3E50"/>
          <w:sz w:val="20"/>
          <w:szCs w:val="20"/>
        </w:rPr>
        <w:t xml:space="preserve">. Gaps: 21. Significant improvement from baseline.</w:t>
      </w:r>
    </w:p>
    <w:p>
      <w:pPr>
        <w:pStyle w:val="Heading2"/>
      </w:pPr>
      <w:r>
        <w:rPr>
          <w:rFonts w:ascii="Calibri" w:cs="Calibri" w:eastAsia="Calibri" w:hAnsi="Calibri"/>
          <w:b/>
          <w:bCs/>
          <w:color w:val="1F4E79"/>
          <w:sz w:val="24"/>
          <w:szCs w:val="24"/>
        </w:rPr>
        <w:t xml:space="preserve">PREPARATION CHECKLIST</w:t>
      </w:r>
    </w:p>
    <w:p>
      <w:pPr>
        <w:pStyle w:val="ListParagraph"/>
        <w:numPr>
          <w:ilvl w:val="0"/>
          <w:numId w:val="3"/>
        </w:numPr>
        <w:spacing w:after="60"/>
      </w:pPr>
      <w:r>
        <w:rPr>
          <w:rFonts w:ascii="Calibri" w:cs="Calibri" w:eastAsia="Calibri" w:hAnsi="Calibri"/>
          <w:color w:val="2C3E50"/>
          <w:sz w:val="20"/>
          <w:szCs w:val="20"/>
        </w:rPr>
        <w:t xml:space="preserve">Rehearse Org Intro presentation with Integrated President (10–15 min).</w:t>
      </w:r>
    </w:p>
    <w:p>
      <w:pPr>
        <w:pStyle w:val="ListParagraph"/>
        <w:numPr>
          <w:ilvl w:val="0"/>
          <w:numId w:val="3"/>
        </w:numPr>
        <w:spacing w:after="60"/>
      </w:pPr>
      <w:r>
        <w:rPr>
          <w:rFonts w:ascii="Calibri" w:cs="Calibri" w:eastAsia="Calibri" w:hAnsi="Calibri"/>
          <w:color w:val="2C3E50"/>
          <w:sz w:val="20"/>
          <w:szCs w:val="20"/>
        </w:rPr>
        <w:t xml:space="preserve">Know “Unstoppable Compassion” cold — 3 directions with SJHCG examples.</w:t>
      </w:r>
    </w:p>
    <w:p>
      <w:pPr>
        <w:pStyle w:val="ListParagraph"/>
        <w:numPr>
          <w:ilvl w:val="0"/>
          <w:numId w:val="3"/>
        </w:numPr>
        <w:spacing w:after="60"/>
      </w:pPr>
      <w:r>
        <w:rPr>
          <w:rFonts w:ascii="Calibri" w:cs="Calibri" w:eastAsia="Calibri" w:hAnsi="Calibri"/>
          <w:color w:val="2C3E50"/>
          <w:sz w:val="20"/>
          <w:szCs w:val="20"/>
        </w:rPr>
        <w:t xml:space="preserve">Prepare client experience data: collection, changes, communication back.</w:t>
      </w:r>
    </w:p>
    <w:p>
      <w:pPr>
        <w:pStyle w:val="ListParagraph"/>
        <w:numPr>
          <w:ilvl w:val="0"/>
          <w:numId w:val="3"/>
        </w:numPr>
        <w:spacing w:after="60"/>
      </w:pPr>
      <w:r>
        <w:rPr>
          <w:rFonts w:ascii="Calibri" w:cs="Calibri" w:eastAsia="Calibri" w:hAnsi="Calibri"/>
          <w:color w:val="2C3E50"/>
          <w:sz w:val="20"/>
          <w:szCs w:val="20"/>
        </w:rPr>
        <w:t xml:space="preserve">Know the quality infrastructure end-to-end.</w:t>
      </w:r>
    </w:p>
    <w:p>
      <w:pPr>
        <w:pStyle w:val="ListParagraph"/>
        <w:numPr>
          <w:ilvl w:val="0"/>
          <w:numId w:val="3"/>
        </w:numPr>
        <w:spacing w:after="60"/>
      </w:pPr>
      <w:r>
        <w:rPr>
          <w:rFonts w:ascii="Calibri" w:cs="Calibri" w:eastAsia="Calibri" w:hAnsi="Calibri"/>
          <w:color w:val="2C3E50"/>
          <w:sz w:val="20"/>
          <w:szCs w:val="20"/>
        </w:rPr>
        <w:t xml:space="preserve">Prepare community engagement examples for the Community Partners Focus Group.</w:t>
      </w:r>
    </w:p>
    <w:p>
      <w:pPr>
        <w:pStyle w:val="ListParagraph"/>
        <w:numPr>
          <w:ilvl w:val="0"/>
          <w:numId w:val="3"/>
        </w:numPr>
        <w:spacing w:after="60"/>
      </w:pPr>
      <w:r>
        <w:rPr>
          <w:rFonts w:ascii="Calibri" w:cs="Calibri" w:eastAsia="Calibri" w:hAnsi="Calibri"/>
          <w:color w:val="2C3E50"/>
          <w:sz w:val="20"/>
          <w:szCs w:val="20"/>
        </w:rPr>
        <w:t xml:space="preserve">Prepare a rapid-response plan for daily reviews.</w:t>
      </w:r>
    </w:p>
    <w:p>
      <w:pPr>
        <w:pStyle w:val="ListParagraph"/>
        <w:numPr>
          <w:ilvl w:val="0"/>
          <w:numId w:val="3"/>
        </w:numPr>
        <w:spacing w:after="60"/>
      </w:pPr>
      <w:r>
        <w:rPr>
          <w:rFonts w:ascii="Calibri" w:cs="Calibri" w:eastAsia="Calibri" w:hAnsi="Calibri"/>
          <w:color w:val="2C3E50"/>
          <w:sz w:val="20"/>
          <w:szCs w:val="20"/>
        </w:rPr>
        <w:t xml:space="preserve">Coordinate logistics: surveyor room, schedule copies, SharePoint upload person.</w:t>
      </w:r>
    </w:p>
    <w:p>
      <w:pPr>
        <w:pStyle w:val="ListParagraph"/>
        <w:numPr>
          <w:ilvl w:val="0"/>
          <w:numId w:val="3"/>
        </w:numPr>
        <w:spacing w:after="60"/>
      </w:pPr>
      <w:r>
        <w:rPr>
          <w:rFonts w:ascii="Calibri" w:cs="Calibri" w:eastAsia="Calibri" w:hAnsi="Calibri"/>
          <w:color w:val="2C3E50"/>
          <w:sz w:val="20"/>
          <w:szCs w:val="20"/>
        </w:rPr>
        <w:t xml:space="preserve">Review your tracer sessions: tracers.sjhcgsurvey.ca</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tracers.sjhcgsurvey.ca</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2026-03-16T16:23:43.391Z</dcterms:created>
  <dcterms:modified xsi:type="dcterms:W3CDTF">2026-03-16T16:23:43.391Z</dcterms:modified>
</cp:coreProperties>
</file>

<file path=docProps/custom.xml><?xml version="1.0" encoding="utf-8"?>
<Properties xmlns="http://schemas.openxmlformats.org/officeDocument/2006/custom-properties" xmlns:vt="http://schemas.openxmlformats.org/officeDocument/2006/docPropsVTypes"/>
</file>