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ACCREDITATION BRIEFING</w:t>
            </w:r>
          </w:p>
          <w:p>
            <w:pPr>
              <w:jc w:val="center"/>
            </w:pPr>
            <w:r>
              <w:rPr>
                <w:rFonts w:ascii="Calibri" w:cs="Calibri" w:eastAsia="Calibri" w:hAnsi="Calibri"/>
                <w:color w:val="C19A3E"/>
                <w:sz w:val="20"/>
                <w:szCs w:val="20"/>
              </w:rPr>
              <w:t xml:space="preserve">Chief of Staff | Medical Leadership | Survey: May 4–6, 2026</w:t>
            </w:r>
          </w:p>
        </w:tc>
      </w:tr>
    </w:tbl>
    <w:p>
      <w:pPr>
        <w:spacing w:after="40"/>
      </w:pPr>
    </w:p>
    <w:p>
      <w:pPr>
        <w:pStyle w:val="Heading2"/>
      </w:pPr>
      <w:r>
        <w:rPr>
          <w:rFonts w:ascii="Calibri" w:cs="Calibri" w:eastAsia="Calibri" w:hAnsi="Calibri"/>
          <w:b/>
          <w:bCs/>
          <w:color w:val="1F4E79"/>
          <w:sz w:val="24"/>
          <w:szCs w:val="24"/>
        </w:rPr>
        <w:t xml:space="preserve">CONTEXT: YOUR ROLE IN THE MAY 4–6 SURVEY</w:t>
      </w:r>
    </w:p>
    <w:p>
      <w:pPr>
        <w:spacing w:after="100"/>
      </w:pPr>
      <w:r>
        <w:rPr>
          <w:rFonts w:ascii="Calibri" w:cs="Calibri" w:eastAsia="Calibri" w:hAnsi="Calibri"/>
          <w:color w:val="2C3E50"/>
          <w:sz w:val="20"/>
          <w:szCs w:val="20"/>
        </w:rPr>
        <w:t xml:space="preserve">As Chief of Staff, you represent medical leadership, physician credentialing, clinical quality oversight, and the bridge between medical staff and organizational governance. Surveyors will look for evidence that medical staff are actively engaged in QI, credentialing is rigorous, and medical leadership participates meaningfully in decision-making.</w:t>
      </w:r>
    </w:p>
    <w:p>
      <w:pPr>
        <w:pStyle w:val="Heading2"/>
      </w:pPr>
      <w:r>
        <w:rPr>
          <w:rFonts w:ascii="Calibri" w:cs="Calibri" w:eastAsia="Calibri" w:hAnsi="Calibri"/>
          <w:b/>
          <w:bCs/>
          <w:color w:val="1F4E79"/>
          <w:sz w:val="24"/>
          <w:szCs w:val="24"/>
        </w:rPr>
        <w:t xml:space="preserve">YOUR SURVEY SCHEDULE</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2000"/>
        <w:gridCol w:w="5512"/>
        <w:gridCol w:w="3000"/>
      </w:tblGrid>
      <w:tr>
        <w:tc>
          <w:tcPr>
            <w:tcW w:type="dxa" w:w="2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Time</w:t>
            </w:r>
          </w:p>
        </w:tc>
        <w:tc>
          <w:tcPr>
            <w:tcW w:type="dxa" w:w="55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Session</w:t>
            </w:r>
          </w:p>
        </w:tc>
        <w:tc>
          <w:tcPr>
            <w:tcW w:type="dxa" w:w="3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Surveyor</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0830–0930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Leadership Discussion Group</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1300–1430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Integrated Quality Management</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1430–1530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Principle-Based Care &amp; Decision Making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Wed 1000–1030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Leadership Debriefing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All surveyors</w:t>
            </w:r>
          </w:p>
        </w:tc>
      </w:tr>
    </w:tbl>
    <w:p>
      <w:pPr>
        <w:pStyle w:val="Heading2"/>
      </w:pPr>
      <w:r>
        <w:rPr>
          <w:rFonts w:ascii="Calibri" w:cs="Calibri" w:eastAsia="Calibri" w:hAnsi="Calibri"/>
          <w:b/>
          <w:bCs/>
          <w:color w:val="1F4E79"/>
          <w:sz w:val="24"/>
          <w:szCs w:val="24"/>
        </w:rPr>
        <w:t xml:space="preserve">WHAT SURVEYORS WILL ASK YOU</w:t>
      </w:r>
    </w:p>
    <w:p>
      <w:pPr>
        <w:pStyle w:val="ListParagraph"/>
        <w:numPr>
          <w:ilvl w:val="0"/>
          <w:numId w:val="2"/>
        </w:numPr>
        <w:spacing w:after="60"/>
      </w:pPr>
      <w:r>
        <w:rPr>
          <w:rFonts w:ascii="Calibri" w:cs="Calibri" w:eastAsia="Calibri" w:hAnsi="Calibri"/>
          <w:color w:val="2C3E50"/>
          <w:sz w:val="20"/>
          <w:szCs w:val="20"/>
        </w:rPr>
        <w:t xml:space="preserve">How are physicians credentialed and re-credentialed? Process and frequency?</w:t>
      </w:r>
    </w:p>
    <w:p>
      <w:pPr>
        <w:pStyle w:val="ListParagraph"/>
        <w:numPr>
          <w:ilvl w:val="0"/>
          <w:numId w:val="2"/>
        </w:numPr>
        <w:spacing w:after="60"/>
      </w:pPr>
      <w:r>
        <w:rPr>
          <w:rFonts w:ascii="Calibri" w:cs="Calibri" w:eastAsia="Calibri" w:hAnsi="Calibri"/>
          <w:color w:val="2C3E50"/>
          <w:sz w:val="20"/>
          <w:szCs w:val="20"/>
        </w:rPr>
        <w:t xml:space="preserve">Describe a clinical quality concern addressed through medical leadership.</w:t>
      </w:r>
    </w:p>
    <w:p>
      <w:pPr>
        <w:pStyle w:val="ListParagraph"/>
        <w:numPr>
          <w:ilvl w:val="0"/>
          <w:numId w:val="2"/>
        </w:numPr>
        <w:spacing w:after="60"/>
      </w:pPr>
      <w:r>
        <w:rPr>
          <w:rFonts w:ascii="Calibri" w:cs="Calibri" w:eastAsia="Calibri" w:hAnsi="Calibri"/>
          <w:color w:val="2C3E50"/>
          <w:sz w:val="20"/>
          <w:szCs w:val="20"/>
        </w:rPr>
        <w:t xml:space="preserve">How are physicians engaged in QI? Give a physician-led improvement example.</w:t>
      </w:r>
    </w:p>
    <w:p>
      <w:pPr>
        <w:pStyle w:val="ListParagraph"/>
        <w:numPr>
          <w:ilvl w:val="0"/>
          <w:numId w:val="2"/>
        </w:numPr>
        <w:spacing w:after="60"/>
      </w:pPr>
      <w:r>
        <w:rPr>
          <w:rFonts w:ascii="Calibri" w:cs="Calibri" w:eastAsia="Calibri" w:hAnsi="Calibri"/>
          <w:color w:val="2C3E50"/>
          <w:sz w:val="20"/>
          <w:szCs w:val="20"/>
        </w:rPr>
        <w:t xml:space="preserve">What is the ethics consultation process? Tell me about a recent ethical dilemma.</w:t>
      </w:r>
    </w:p>
    <w:p>
      <w:pPr>
        <w:pStyle w:val="ListParagraph"/>
        <w:numPr>
          <w:ilvl w:val="0"/>
          <w:numId w:val="2"/>
        </w:numPr>
        <w:spacing w:after="60"/>
      </w:pPr>
      <w:r>
        <w:rPr>
          <w:rFonts w:ascii="Calibri" w:cs="Calibri" w:eastAsia="Calibri" w:hAnsi="Calibri"/>
          <w:color w:val="2C3E50"/>
          <w:sz w:val="20"/>
          <w:szCs w:val="20"/>
        </w:rPr>
        <w:t xml:space="preserve">How is antimicrobial stewardship managed? Who leads it? What data?</w:t>
      </w:r>
    </w:p>
    <w:p>
      <w:pPr>
        <w:pStyle w:val="ListParagraph"/>
        <w:numPr>
          <w:ilvl w:val="0"/>
          <w:numId w:val="2"/>
        </w:numPr>
        <w:spacing w:after="60"/>
      </w:pPr>
      <w:r>
        <w:rPr>
          <w:rFonts w:ascii="Calibri" w:cs="Calibri" w:eastAsia="Calibri" w:hAnsi="Calibri"/>
          <w:color w:val="2C3E50"/>
          <w:sz w:val="20"/>
          <w:szCs w:val="20"/>
        </w:rPr>
        <w:t xml:space="preserve">How does medical leadership connect to the Board?</w:t>
      </w:r>
    </w:p>
    <w:p>
      <w:pPr>
        <w:pStyle w:val="Heading2"/>
      </w:pPr>
      <w:r>
        <w:rPr>
          <w:rFonts w:ascii="Calibri" w:cs="Calibri" w:eastAsia="Calibri" w:hAnsi="Calibri"/>
          <w:b/>
          <w:bCs/>
          <w:color w:val="1F4E79"/>
          <w:sz w:val="24"/>
          <w:szCs w:val="24"/>
        </w:rPr>
        <w:t xml:space="preserve">KEY GAPS &amp; ROPS</w:t>
      </w:r>
    </w:p>
    <w:p>
      <w:pPr>
        <w:pStyle w:val="ListParagraph"/>
        <w:numPr>
          <w:ilvl w:val="0"/>
          <w:numId w:val="2"/>
        </w:numPr>
        <w:spacing w:after="60"/>
      </w:pPr>
      <w:r>
        <w:rPr>
          <w:rFonts w:ascii="Calibri" w:cs="Calibri" w:eastAsia="Calibri" w:hAnsi="Calibri"/>
          <w:color w:val="2C3E50"/>
          <w:sz w:val="20"/>
          <w:szCs w:val="20"/>
        </w:rPr>
        <w:t xml:space="preserve">ROP: Patient safety incident management — medical staff role in disclosure and review.</w:t>
      </w:r>
    </w:p>
    <w:p>
      <w:pPr>
        <w:pStyle w:val="ListParagraph"/>
        <w:numPr>
          <w:ilvl w:val="0"/>
          <w:numId w:val="2"/>
        </w:numPr>
        <w:spacing w:after="60"/>
      </w:pPr>
      <w:r>
        <w:rPr>
          <w:rFonts w:ascii="Calibri" w:cs="Calibri" w:eastAsia="Calibri" w:hAnsi="Calibri"/>
          <w:color w:val="2C3E50"/>
          <w:sz w:val="20"/>
          <w:szCs w:val="20"/>
        </w:rPr>
        <w:t xml:space="preserve">Antimicrobial stewardship — flagged as gap. Know the program, lead, and metrics.</w:t>
      </w:r>
    </w:p>
    <w:p>
      <w:pPr>
        <w:pStyle w:val="ListParagraph"/>
        <w:numPr>
          <w:ilvl w:val="0"/>
          <w:numId w:val="2"/>
        </w:numPr>
        <w:spacing w:after="60"/>
      </w:pPr>
      <w:r>
        <w:rPr>
          <w:rFonts w:ascii="Calibri" w:cs="Calibri" w:eastAsia="Calibri" w:hAnsi="Calibri"/>
          <w:color w:val="2C3E50"/>
          <w:sz w:val="20"/>
          <w:szCs w:val="20"/>
        </w:rPr>
        <w:t xml:space="preserve">Physician credentialing — must be documented, current, include ongoing competency.</w:t>
      </w:r>
    </w:p>
    <w:p>
      <w:pPr>
        <w:pStyle w:val="ListParagraph"/>
        <w:numPr>
          <w:ilvl w:val="0"/>
          <w:numId w:val="2"/>
        </w:numPr>
        <w:spacing w:after="60"/>
      </w:pPr>
      <w:r>
        <w:rPr>
          <w:rFonts w:ascii="Calibri" w:cs="Calibri" w:eastAsia="Calibri" w:hAnsi="Calibri"/>
          <w:color w:val="2C3E50"/>
          <w:sz w:val="20"/>
          <w:szCs w:val="20"/>
        </w:rPr>
        <w:t xml:space="preserve">Ethics framework — consultation process, committee structure, and a real example.</w:t>
      </w:r>
    </w:p>
    <w:p>
      <w:pPr>
        <w:pStyle w:val="Heading2"/>
      </w:pPr>
      <w:r>
        <w:rPr>
          <w:rFonts w:ascii="Calibri" w:cs="Calibri" w:eastAsia="Calibri" w:hAnsi="Calibri"/>
          <w:b/>
          <w:bCs/>
          <w:color w:val="1F4E79"/>
          <w:sz w:val="24"/>
          <w:szCs w:val="24"/>
        </w:rPr>
        <w:t xml:space="preserve">PREPARATION CHECKLIST</w:t>
      </w:r>
    </w:p>
    <w:p>
      <w:pPr>
        <w:pStyle w:val="ListParagraph"/>
        <w:numPr>
          <w:ilvl w:val="0"/>
          <w:numId w:val="3"/>
        </w:numPr>
        <w:spacing w:after="60"/>
      </w:pPr>
      <w:r>
        <w:rPr>
          <w:rFonts w:ascii="Calibri" w:cs="Calibri" w:eastAsia="Calibri" w:hAnsi="Calibri"/>
          <w:color w:val="2C3E50"/>
          <w:sz w:val="20"/>
          <w:szCs w:val="20"/>
        </w:rPr>
        <w:t xml:space="preserve">Review credentialing and privileging process — frequency, criteria, recent examples.</w:t>
      </w:r>
    </w:p>
    <w:p>
      <w:pPr>
        <w:pStyle w:val="ListParagraph"/>
        <w:numPr>
          <w:ilvl w:val="0"/>
          <w:numId w:val="3"/>
        </w:numPr>
        <w:spacing w:after="60"/>
      </w:pPr>
      <w:r>
        <w:rPr>
          <w:rFonts w:ascii="Calibri" w:cs="Calibri" w:eastAsia="Calibri" w:hAnsi="Calibri"/>
          <w:color w:val="2C3E50"/>
          <w:sz w:val="20"/>
          <w:szCs w:val="20"/>
        </w:rPr>
        <w:t xml:space="preserve">Prepare a physician-led QI example with measurable outcomes.</w:t>
      </w:r>
    </w:p>
    <w:p>
      <w:pPr>
        <w:pStyle w:val="ListParagraph"/>
        <w:numPr>
          <w:ilvl w:val="0"/>
          <w:numId w:val="3"/>
        </w:numPr>
        <w:spacing w:after="60"/>
      </w:pPr>
      <w:r>
        <w:rPr>
          <w:rFonts w:ascii="Calibri" w:cs="Calibri" w:eastAsia="Calibri" w:hAnsi="Calibri"/>
          <w:color w:val="2C3E50"/>
          <w:sz w:val="20"/>
          <w:szCs w:val="20"/>
        </w:rPr>
        <w:t xml:space="preserve">Prepare a real ethics case with resolution (de-identified).</w:t>
      </w:r>
    </w:p>
    <w:p>
      <w:pPr>
        <w:pStyle w:val="ListParagraph"/>
        <w:numPr>
          <w:ilvl w:val="0"/>
          <w:numId w:val="3"/>
        </w:numPr>
        <w:spacing w:after="60"/>
      </w:pPr>
      <w:r>
        <w:rPr>
          <w:rFonts w:ascii="Calibri" w:cs="Calibri" w:eastAsia="Calibri" w:hAnsi="Calibri"/>
          <w:color w:val="2C3E50"/>
          <w:sz w:val="20"/>
          <w:szCs w:val="20"/>
        </w:rPr>
        <w:t xml:space="preserve">Know the antimicrobial stewardship program: lead, metrics, recent changes.</w:t>
      </w:r>
    </w:p>
    <w:p>
      <w:pPr>
        <w:pStyle w:val="ListParagraph"/>
        <w:numPr>
          <w:ilvl w:val="0"/>
          <w:numId w:val="3"/>
        </w:numPr>
        <w:spacing w:after="60"/>
      </w:pPr>
      <w:r>
        <w:rPr>
          <w:rFonts w:ascii="Calibri" w:cs="Calibri" w:eastAsia="Calibri" w:hAnsi="Calibri"/>
          <w:color w:val="2C3E50"/>
          <w:sz w:val="20"/>
          <w:szCs w:val="20"/>
        </w:rPr>
        <w:t xml:space="preserve">Know how medical staff incident data flows to quality review.</w:t>
      </w:r>
    </w:p>
    <w:p>
      <w:pPr>
        <w:pStyle w:val="ListParagraph"/>
        <w:numPr>
          <w:ilvl w:val="0"/>
          <w:numId w:val="3"/>
        </w:numPr>
        <w:spacing w:after="60"/>
      </w:pPr>
      <w:r>
        <w:rPr>
          <w:rFonts w:ascii="Calibri" w:cs="Calibri" w:eastAsia="Calibri" w:hAnsi="Calibri"/>
          <w:color w:val="2C3E50"/>
          <w:sz w:val="20"/>
          <w:szCs w:val="20"/>
        </w:rPr>
        <w:t xml:space="preserve">Connect with the Accreditation Project Lead for a walkthrough.</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tracers.sjhcgsurvey.ca</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2026-03-16T16:23:43.276Z</dcterms:created>
  <dcterms:modified xsi:type="dcterms:W3CDTF">2026-03-16T16:23:43.276Z</dcterms:modified>
</cp:coreProperties>
</file>

<file path=docProps/custom.xml><?xml version="1.0" encoding="utf-8"?>
<Properties xmlns="http://schemas.openxmlformats.org/officeDocument/2006/custom-properties" xmlns:vt="http://schemas.openxmlformats.org/officeDocument/2006/docPropsVTypes"/>
</file>