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ACCREDITATION BRIEFING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Chair, Local Board of Trustees | Survey: May 4–6, 2026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CONTEXT: YOUR ROLE IN THE MAY 4–6 SURVEY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As Chair of the SJHCG Local Board of Trustees, you are the governance anchor. Karen Biggs will lead the Governance Discussion Group on Day 2 (1530–1630) with Board members and Executive Committee. This is a critical 60-minute session. Karen Biggs is a retired multi-campus CEO with deep governance expertise — she will probe the Board’s active role in quality oversight, not just structural compliance.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SURVEY SCHEDULE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1530–1630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Governance Discussion Group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Wed 1000–1030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Leadership Debriefing (optional)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All surveyors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🔍 SURVEYOR INTELLIGENCE: </w:t>
      </w:r>
      <w:r>
        <w:rPr>
          <w:rFonts w:ascii="Calibri" w:cs="Calibri" w:eastAsia="Calibri" w:hAnsi="Calibri"/>
          <w:color w:val="2C3E50"/>
          <w:sz w:val="20"/>
          <w:szCs w:val="20"/>
        </w:rPr>
        <w:t xml:space="preserve">Karen Biggs: Has governed a complex multi-campus seniors’ care organization herself. She will test whether the Board uses data to drive decisions, not just monitor reports.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THE BIPARTITE GOVERNANCE MODEL — KNOW THIS COLD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SJHS Board of Directors (Shawn Clifford, Chair) → system-wide strategic oversight.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SJHCG Local Board of Trustees → site-level accountability for quality, safety, community.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Integrated President → reports to BOTH boards.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Shared Services centralized; clinical and operational decisions remain local.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SURVEYORS WILL ASK YOU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Tell me about the Board’s role in quality oversight. How do you ensure patient safety?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Give a specific example where the Board made a decision driven by quality/safety data.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the Board monitor the QIP?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the Board ensure the restructuring hasn’t created quality gaps?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community needs incorporated into strategic planning?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patients/residents/families engaged at the governance level?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COMPLIANCE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Governance: 98.9% compliance</w:t>
      </w:r>
      <w:r>
        <w:rPr>
          <w:rFonts w:ascii="Calibri" w:cs="Calibri" w:eastAsia="Calibri" w:hAnsi="Calibri"/>
          <w:color w:val="2C3E50"/>
          <w:sz w:val="20"/>
          <w:szCs w:val="20"/>
        </w:rPr>
        <w:t xml:space="preserve"> (1 gap, 2 partials). Strong position.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2022: Accredited with Exemplary Standing — 100% ROPs, 98.7% criteria.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PREPARATION CHECKLIST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Rehearse the bipartite governance explanation until natural.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2–3 Board decisions driven by quality/safety data.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QIP priorities and Board monitoring process.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“Unstoppable Compassion” — 3 strategic directions.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SJHCG: 346 beds, 3 sites, ~700 staff, Campus of Care.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the Accreditation Project Lead and Integrated President for a governance briefing.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2026-03-16T16:23:43.294Z</dcterms:created>
  <dcterms:modified xsi:type="dcterms:W3CDTF">2026-03-16T16:23:43.294Z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